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78F24" w14:textId="77777777" w:rsidR="00780447" w:rsidRDefault="00780447">
      <w:pPr>
        <w:pStyle w:val="PartDes"/>
      </w:pPr>
      <w:bookmarkStart w:id="0" w:name="_GoBack"/>
      <w:bookmarkEnd w:id="0"/>
    </w:p>
    <w:p w14:paraId="644B40C0" w14:textId="77777777" w:rsidR="00780447" w:rsidRDefault="00FE0450">
      <w:pPr>
        <w:pStyle w:val="Heading1"/>
        <w:numPr>
          <w:ilvl w:val="0"/>
          <w:numId w:val="0"/>
        </w:numPr>
      </w:pPr>
      <w:r>
        <w:t>SCHEDULE 2.2</w:t>
      </w:r>
    </w:p>
    <w:p w14:paraId="35FFFC70" w14:textId="77777777" w:rsidR="00780447" w:rsidRDefault="00780447">
      <w:pPr>
        <w:pStyle w:val="PartDes"/>
      </w:pPr>
    </w:p>
    <w:p w14:paraId="388423BD" w14:textId="63A3CA30" w:rsidR="00780447" w:rsidRDefault="000D3B90">
      <w:pPr>
        <w:pStyle w:val="PartDes"/>
      </w:pPr>
      <w:r>
        <w:t>PERFORMANCE LEVELS</w:t>
      </w:r>
    </w:p>
    <w:p w14:paraId="15748523" w14:textId="77777777" w:rsidR="00CB6585" w:rsidRDefault="00CB6585">
      <w:pPr>
        <w:spacing w:after="0"/>
        <w:ind w:left="0"/>
        <w:jc w:val="left"/>
        <w:rPr>
          <w:rFonts w:cs="Arial"/>
          <w:b/>
          <w:highlight w:val="yellow"/>
        </w:rPr>
      </w:pPr>
      <w:r>
        <w:rPr>
          <w:rFonts w:cs="Arial"/>
          <w:b/>
          <w:highlight w:val="yellow"/>
        </w:rPr>
        <w:br w:type="page"/>
      </w:r>
    </w:p>
    <w:p w14:paraId="2EC71724" w14:textId="75C06246" w:rsidR="003E5F20" w:rsidRPr="00007924" w:rsidRDefault="00F51C15" w:rsidP="003E5F20">
      <w:pPr>
        <w:jc w:val="center"/>
        <w:rPr>
          <w:rFonts w:ascii="Trebuchet MS" w:hAnsi="Trebuchet MS"/>
          <w:b/>
        </w:rPr>
      </w:pPr>
      <w:r w:rsidRPr="00007924">
        <w:rPr>
          <w:rFonts w:ascii="Trebuchet MS" w:hAnsi="Trebuchet MS"/>
          <w:b/>
        </w:rPr>
        <w:lastRenderedPageBreak/>
        <w:t>Performance Levels – Short Form</w:t>
      </w:r>
    </w:p>
    <w:p w14:paraId="31A21D4C" w14:textId="2B4AA5AB" w:rsidR="003E5F20" w:rsidRPr="007C57B6" w:rsidRDefault="003E5F20" w:rsidP="00D472EF">
      <w:pPr>
        <w:pStyle w:val="Heading2"/>
        <w:numPr>
          <w:ilvl w:val="0"/>
          <w:numId w:val="0"/>
        </w:numPr>
        <w:tabs>
          <w:tab w:val="num" w:pos="851"/>
        </w:tabs>
        <w:ind w:left="709"/>
        <w:rPr>
          <w:rFonts w:eastAsia="Calibri"/>
        </w:rPr>
      </w:pPr>
      <w:r w:rsidRPr="003E5F20">
        <w:t>DEFINITIONS</w:t>
      </w:r>
      <w:r w:rsidRPr="007C57B6">
        <w:rPr>
          <w:rFonts w:eastAsia="Calibri"/>
        </w:rPr>
        <w:t xml:space="preserve"> </w:t>
      </w:r>
    </w:p>
    <w:p w14:paraId="334AADA6" w14:textId="77777777" w:rsidR="003E5F20" w:rsidRPr="003E5F20" w:rsidRDefault="003E5F20" w:rsidP="00D472EF">
      <w:pPr>
        <w:pStyle w:val="Heading3"/>
        <w:numPr>
          <w:ilvl w:val="0"/>
          <w:numId w:val="0"/>
        </w:numPr>
        <w:ind w:left="709"/>
        <w:rPr>
          <w:rFonts w:eastAsia="Calibri"/>
        </w:rPr>
      </w:pPr>
      <w:r w:rsidRPr="003E5F20">
        <w:rPr>
          <w:rFonts w:eastAsia="Calibri"/>
        </w:rPr>
        <w:t xml:space="preserve">In this Schedule, </w:t>
      </w:r>
      <w:r w:rsidRPr="003E5F20">
        <w:rPr>
          <w:rFonts w:cs="Arial"/>
        </w:rPr>
        <w:t>the</w:t>
      </w:r>
      <w:r w:rsidRPr="003E5F20">
        <w:rPr>
          <w:rFonts w:eastAsia="Calibri"/>
        </w:rPr>
        <w:t xml:space="preserve"> following definitions apply:</w:t>
      </w:r>
    </w:p>
    <w:tbl>
      <w:tblPr>
        <w:tblW w:w="0" w:type="auto"/>
        <w:tblInd w:w="709" w:type="dxa"/>
        <w:tblLook w:val="01E0" w:firstRow="1" w:lastRow="1" w:firstColumn="1" w:lastColumn="1" w:noHBand="0" w:noVBand="0"/>
      </w:tblPr>
      <w:tblGrid>
        <w:gridCol w:w="1797"/>
        <w:gridCol w:w="6523"/>
      </w:tblGrid>
      <w:tr w:rsidR="003E5F20" w:rsidRPr="0058283A" w14:paraId="3C439F70" w14:textId="77777777" w:rsidTr="00E34B7D">
        <w:tc>
          <w:tcPr>
            <w:tcW w:w="1797" w:type="dxa"/>
          </w:tcPr>
          <w:p w14:paraId="52F48641" w14:textId="77777777" w:rsidR="003E5F20" w:rsidRPr="003E5F20" w:rsidRDefault="003E5F20" w:rsidP="003E5F20">
            <w:pPr>
              <w:widowControl w:val="0"/>
              <w:spacing w:after="120" w:line="240" w:lineRule="atLeast"/>
              <w:ind w:left="0"/>
              <w:rPr>
                <w:rFonts w:cs="Arial"/>
                <w:b/>
              </w:rPr>
            </w:pPr>
            <w:r w:rsidRPr="003E5F20">
              <w:rPr>
                <w:rFonts w:cs="Arial"/>
                <w:b/>
              </w:rPr>
              <w:t>“Critical KPI Failure”</w:t>
            </w:r>
          </w:p>
        </w:tc>
        <w:tc>
          <w:tcPr>
            <w:tcW w:w="6523" w:type="dxa"/>
          </w:tcPr>
          <w:p w14:paraId="09CF5A5C" w14:textId="77777777" w:rsidR="003E5F20" w:rsidRPr="003E5F20" w:rsidRDefault="003E5F20" w:rsidP="003E5F20">
            <w:pPr>
              <w:widowControl w:val="0"/>
              <w:spacing w:after="120" w:line="240" w:lineRule="atLeast"/>
              <w:ind w:left="0"/>
              <w:rPr>
                <w:rFonts w:cs="Arial"/>
              </w:rPr>
            </w:pPr>
            <w:r w:rsidRPr="003E5F20">
              <w:rPr>
                <w:rFonts w:cs="Arial"/>
              </w:rPr>
              <w:t>Where:</w:t>
            </w:r>
          </w:p>
          <w:p w14:paraId="72CA40BA" w14:textId="77777777" w:rsidR="003E5F20" w:rsidRPr="003E5F20" w:rsidRDefault="003E5F20" w:rsidP="003E5F20">
            <w:pPr>
              <w:pStyle w:val="Heading4"/>
              <w:tabs>
                <w:tab w:val="num" w:pos="512"/>
              </w:tabs>
              <w:ind w:left="512" w:hanging="512"/>
            </w:pPr>
            <w:r w:rsidRPr="003E5F20">
              <w:t>the Supplier fails to provide any part of the Services to a level which meets or exceeds the Critical KPI Failure Performance Threshold for the relevant KPI; and/or</w:t>
            </w:r>
          </w:p>
          <w:p w14:paraId="54222072" w14:textId="77777777" w:rsidR="003E5F20" w:rsidRPr="003E5F20" w:rsidRDefault="003E5F20" w:rsidP="003E5F20">
            <w:pPr>
              <w:pStyle w:val="Heading4"/>
              <w:tabs>
                <w:tab w:val="num" w:pos="512"/>
              </w:tabs>
              <w:ind w:left="512" w:hanging="512"/>
              <w:rPr>
                <w:rFonts w:asciiTheme="minorHAnsi" w:hAnsiTheme="minorHAnsi"/>
              </w:rPr>
            </w:pPr>
            <w:r w:rsidRPr="003E5F20">
              <w:t xml:space="preserve">there is a Repeat Failure Count of </w:t>
            </w:r>
            <w:r w:rsidRPr="00007924">
              <w:t>[four (4)]</w:t>
            </w:r>
            <w:r w:rsidRPr="003E5F20">
              <w:t xml:space="preserve"> or more for the relevant KPI.</w:t>
            </w:r>
          </w:p>
        </w:tc>
      </w:tr>
      <w:tr w:rsidR="00FD586A" w:rsidRPr="0058283A" w14:paraId="63740BC6" w14:textId="77777777" w:rsidTr="00A67D27">
        <w:tc>
          <w:tcPr>
            <w:tcW w:w="1745" w:type="dxa"/>
          </w:tcPr>
          <w:p w14:paraId="47ABDD59" w14:textId="31BFB1AE" w:rsidR="00FD586A" w:rsidRPr="003E5F20" w:rsidRDefault="00FD586A" w:rsidP="003E5F20">
            <w:pPr>
              <w:widowControl w:val="0"/>
              <w:spacing w:after="120" w:line="240" w:lineRule="atLeast"/>
              <w:ind w:left="0"/>
              <w:rPr>
                <w:rFonts w:cs="Arial"/>
                <w:b/>
              </w:rPr>
            </w:pPr>
            <w:r>
              <w:rPr>
                <w:rFonts w:cs="Arial"/>
                <w:b/>
              </w:rPr>
              <w:t>“Compensation for Unacceptable KPI Failure”</w:t>
            </w:r>
          </w:p>
        </w:tc>
        <w:tc>
          <w:tcPr>
            <w:tcW w:w="6575" w:type="dxa"/>
          </w:tcPr>
          <w:p w14:paraId="2757841D" w14:textId="1A0BAE84" w:rsidR="00FD586A" w:rsidRPr="003E5F20" w:rsidRDefault="00FD586A" w:rsidP="00FD586A">
            <w:pPr>
              <w:widowControl w:val="0"/>
              <w:spacing w:after="120" w:line="240" w:lineRule="atLeast"/>
              <w:ind w:left="0"/>
              <w:rPr>
                <w:rFonts w:cs="Arial"/>
              </w:rPr>
            </w:pPr>
            <w:r>
              <w:rPr>
                <w:rFonts w:cs="Arial"/>
              </w:rPr>
              <w:t xml:space="preserve">has the meaning given in Paragraph </w:t>
            </w:r>
            <w:r>
              <w:rPr>
                <w:rFonts w:cs="Arial"/>
              </w:rPr>
              <w:fldChar w:fldCharType="begin"/>
            </w:r>
            <w:r>
              <w:rPr>
                <w:rFonts w:cs="Arial"/>
              </w:rPr>
              <w:instrText xml:space="preserve"> REF _Ref522172869 \r \h </w:instrText>
            </w:r>
            <w:r>
              <w:rPr>
                <w:rFonts w:cs="Arial"/>
              </w:rPr>
            </w:r>
            <w:r>
              <w:rPr>
                <w:rFonts w:cs="Arial"/>
              </w:rPr>
              <w:fldChar w:fldCharType="separate"/>
            </w:r>
            <w:r w:rsidR="007D6A3B">
              <w:rPr>
                <w:rFonts w:cs="Arial"/>
              </w:rPr>
              <w:t>3.1</w:t>
            </w:r>
            <w:r>
              <w:rPr>
                <w:rFonts w:cs="Arial"/>
              </w:rPr>
              <w:fldChar w:fldCharType="end"/>
            </w:r>
            <w:r>
              <w:rPr>
                <w:rFonts w:cs="Arial"/>
              </w:rPr>
              <w:t xml:space="preserve"> </w:t>
            </w:r>
            <w:r>
              <w:t>(</w:t>
            </w:r>
            <w:r w:rsidRPr="00FD586A">
              <w:rPr>
                <w:i/>
              </w:rPr>
              <w:t>Unacceptable KPI Failure</w:t>
            </w:r>
            <w:r>
              <w:t>);</w:t>
            </w:r>
          </w:p>
        </w:tc>
      </w:tr>
      <w:tr w:rsidR="003E5F20" w:rsidRPr="0058283A" w14:paraId="32607BAB" w14:textId="77777777" w:rsidTr="00A67D27">
        <w:tc>
          <w:tcPr>
            <w:tcW w:w="1745" w:type="dxa"/>
          </w:tcPr>
          <w:p w14:paraId="0948665B" w14:textId="77777777" w:rsidR="003E5F20" w:rsidRPr="003E5F20" w:rsidRDefault="003E5F20" w:rsidP="003E5F20">
            <w:pPr>
              <w:widowControl w:val="0"/>
              <w:spacing w:after="120" w:line="240" w:lineRule="atLeast"/>
              <w:ind w:left="0"/>
              <w:rPr>
                <w:rFonts w:cs="Arial"/>
                <w:b/>
              </w:rPr>
            </w:pPr>
            <w:r w:rsidRPr="003E5F20">
              <w:rPr>
                <w:rFonts w:cs="Arial"/>
                <w:b/>
              </w:rPr>
              <w:t>"Critical KPI Failure Performance Threshold"</w:t>
            </w:r>
          </w:p>
        </w:tc>
        <w:tc>
          <w:tcPr>
            <w:tcW w:w="6575" w:type="dxa"/>
          </w:tcPr>
          <w:p w14:paraId="398B5C4B" w14:textId="1B73863B" w:rsidR="003E5F20" w:rsidRPr="003E5F20" w:rsidRDefault="003E5F20" w:rsidP="003E5F20">
            <w:pPr>
              <w:pStyle w:val="BodyText"/>
              <w:keepNext/>
              <w:tabs>
                <w:tab w:val="left" w:pos="558"/>
              </w:tabs>
              <w:spacing w:before="120" w:after="240"/>
              <w:ind w:left="0"/>
              <w:rPr>
                <w:rFonts w:cs="Arial"/>
              </w:rPr>
            </w:pPr>
            <w:r w:rsidRPr="003E5F20">
              <w:rPr>
                <w:rFonts w:cs="Arial"/>
              </w:rPr>
              <w:t>the relevant level of performance designated as such for a KPI and set out in the relevant table in Annex 1;</w:t>
            </w:r>
          </w:p>
        </w:tc>
      </w:tr>
      <w:tr w:rsidR="00E34B7D" w:rsidRPr="0058283A" w14:paraId="473D442E" w14:textId="77777777" w:rsidTr="00A67D27">
        <w:tc>
          <w:tcPr>
            <w:tcW w:w="1745" w:type="dxa"/>
          </w:tcPr>
          <w:p w14:paraId="793BCDA2" w14:textId="21264E53" w:rsidR="00E34B7D" w:rsidRPr="003E5F20" w:rsidRDefault="00E34B7D" w:rsidP="00E34B7D">
            <w:pPr>
              <w:widowControl w:val="0"/>
              <w:spacing w:after="120" w:line="240" w:lineRule="atLeast"/>
              <w:ind w:left="0"/>
              <w:rPr>
                <w:rFonts w:cs="Arial"/>
                <w:b/>
              </w:rPr>
            </w:pPr>
            <w:r>
              <w:t>“</w:t>
            </w:r>
            <w:r w:rsidRPr="00536D96">
              <w:rPr>
                <w:b/>
              </w:rPr>
              <w:t>KPI</w:t>
            </w:r>
            <w:r>
              <w:t>”</w:t>
            </w:r>
          </w:p>
        </w:tc>
        <w:tc>
          <w:tcPr>
            <w:tcW w:w="6575" w:type="dxa"/>
          </w:tcPr>
          <w:p w14:paraId="064CB15F" w14:textId="55977BA6" w:rsidR="00E34B7D" w:rsidRPr="003E5F20" w:rsidRDefault="00E34B7D" w:rsidP="00E34B7D">
            <w:pPr>
              <w:pStyle w:val="BodyText"/>
              <w:keepNext/>
              <w:tabs>
                <w:tab w:val="left" w:pos="558"/>
              </w:tabs>
              <w:spacing w:before="120" w:after="240"/>
              <w:ind w:left="0"/>
              <w:rPr>
                <w:rFonts w:cs="Arial"/>
              </w:rPr>
            </w:pPr>
            <w:r w:rsidRPr="00536D96">
              <w:t xml:space="preserve">the </w:t>
            </w:r>
            <w:r>
              <w:t>key performance indicators</w:t>
            </w:r>
            <w:r w:rsidRPr="00536D96">
              <w:t xml:space="preserve"> set out in </w:t>
            </w:r>
            <w:r>
              <w:t>Table 1 of Part I of Annex 1</w:t>
            </w:r>
            <w:r w:rsidRPr="00536D96">
              <w:t>;</w:t>
            </w:r>
          </w:p>
        </w:tc>
      </w:tr>
      <w:tr w:rsidR="00E34B7D" w:rsidRPr="0058283A" w14:paraId="0517F6F6" w14:textId="77777777" w:rsidTr="00E34B7D">
        <w:tc>
          <w:tcPr>
            <w:tcW w:w="1797" w:type="dxa"/>
          </w:tcPr>
          <w:p w14:paraId="3A752178" w14:textId="77777777" w:rsidR="00E34B7D" w:rsidRPr="003E5F20" w:rsidRDefault="00E34B7D" w:rsidP="00E34B7D">
            <w:pPr>
              <w:widowControl w:val="0"/>
              <w:spacing w:after="120" w:line="240" w:lineRule="atLeast"/>
              <w:ind w:left="0"/>
              <w:rPr>
                <w:rFonts w:cs="Arial"/>
                <w:b/>
              </w:rPr>
            </w:pPr>
            <w:r w:rsidRPr="003E5F20">
              <w:rPr>
                <w:rFonts w:cs="Arial"/>
                <w:b/>
              </w:rPr>
              <w:t xml:space="preserve">"KPI Failure" </w:t>
            </w:r>
            <w:r w:rsidRPr="003E5F20">
              <w:rPr>
                <w:rFonts w:cs="Arial"/>
                <w:b/>
              </w:rPr>
              <w:tab/>
            </w:r>
          </w:p>
        </w:tc>
        <w:tc>
          <w:tcPr>
            <w:tcW w:w="6523" w:type="dxa"/>
          </w:tcPr>
          <w:p w14:paraId="3A91C3F9" w14:textId="1A405ACE" w:rsidR="00E34B7D" w:rsidRPr="003E5F20" w:rsidRDefault="00E34B7D" w:rsidP="00E34B7D">
            <w:pPr>
              <w:pStyle w:val="BodyText"/>
              <w:keepNext/>
              <w:tabs>
                <w:tab w:val="left" w:pos="558"/>
              </w:tabs>
              <w:spacing w:before="120" w:after="240"/>
              <w:ind w:left="0"/>
              <w:rPr>
                <w:rFonts w:cs="Arial"/>
              </w:rPr>
            </w:pPr>
            <w:r w:rsidRPr="003E5F20">
              <w:rPr>
                <w:rFonts w:cs="Arial"/>
              </w:rPr>
              <w:t xml:space="preserve">the Supplier fails to provide any part of the Services in accordance with and so as to at least meet the relevant Target </w:t>
            </w:r>
            <w:r>
              <w:rPr>
                <w:rFonts w:cs="Arial"/>
              </w:rPr>
              <w:t>Performance Levels</w:t>
            </w:r>
            <w:r w:rsidRPr="003E5F20">
              <w:rPr>
                <w:rFonts w:cs="Arial"/>
              </w:rPr>
              <w:t>;</w:t>
            </w:r>
          </w:p>
        </w:tc>
      </w:tr>
      <w:tr w:rsidR="00E34B7D" w:rsidRPr="0058283A" w14:paraId="5D87EEA7" w14:textId="77777777" w:rsidTr="00E34B7D">
        <w:tc>
          <w:tcPr>
            <w:tcW w:w="1797" w:type="dxa"/>
          </w:tcPr>
          <w:p w14:paraId="762FF6EA" w14:textId="6CB09C9B" w:rsidR="00E34B7D" w:rsidRPr="003E5F20" w:rsidRDefault="00E34B7D" w:rsidP="00E34B7D">
            <w:pPr>
              <w:widowControl w:val="0"/>
              <w:spacing w:after="120" w:line="240" w:lineRule="atLeast"/>
              <w:ind w:left="0"/>
              <w:rPr>
                <w:rFonts w:cs="Arial"/>
                <w:b/>
              </w:rPr>
            </w:pPr>
            <w:r>
              <w:rPr>
                <w:rFonts w:cs="Arial"/>
                <w:b/>
              </w:rPr>
              <w:t>“Measurement Period”</w:t>
            </w:r>
          </w:p>
        </w:tc>
        <w:tc>
          <w:tcPr>
            <w:tcW w:w="6523" w:type="dxa"/>
          </w:tcPr>
          <w:p w14:paraId="29207727" w14:textId="5E8BD58C" w:rsidR="00E34B7D" w:rsidRPr="003E5F20" w:rsidRDefault="00E34B7D" w:rsidP="00E34B7D">
            <w:pPr>
              <w:pStyle w:val="BodyText"/>
              <w:keepNext/>
              <w:tabs>
                <w:tab w:val="left" w:pos="558"/>
              </w:tabs>
              <w:spacing w:before="120" w:after="240"/>
              <w:ind w:left="0"/>
              <w:rPr>
                <w:rFonts w:cs="Arial"/>
              </w:rPr>
            </w:pPr>
            <w:r w:rsidRPr="00A67D27">
              <w:rPr>
                <w:rFonts w:cs="Arial"/>
              </w:rPr>
              <w:t>in relation to a KPI, the period over which the Supplier’s performance is measured (for example, a Service Period if measured monthly or a twelve (12) month period if measured annual</w:t>
            </w:r>
            <w:r>
              <w:rPr>
                <w:rFonts w:cs="Arial"/>
              </w:rPr>
              <w:t xml:space="preserve">ly), as is specified for each KPI </w:t>
            </w:r>
            <w:r w:rsidRPr="00A67D27">
              <w:rPr>
                <w:rFonts w:cs="Arial"/>
              </w:rPr>
              <w:t>in the table set out at Annex 1;</w:t>
            </w:r>
          </w:p>
        </w:tc>
      </w:tr>
      <w:tr w:rsidR="00D31D4F" w:rsidRPr="0058283A" w14:paraId="2D644404" w14:textId="77777777" w:rsidTr="00E34B7D">
        <w:tc>
          <w:tcPr>
            <w:tcW w:w="1797" w:type="dxa"/>
          </w:tcPr>
          <w:p w14:paraId="0715A5FE" w14:textId="7C37F4D7" w:rsidR="00D31D4F" w:rsidRDefault="00D31D4F" w:rsidP="00D31D4F">
            <w:pPr>
              <w:widowControl w:val="0"/>
              <w:spacing w:after="120" w:line="240" w:lineRule="atLeast"/>
              <w:ind w:left="0"/>
              <w:rPr>
                <w:rFonts w:cs="Arial"/>
                <w:b/>
              </w:rPr>
            </w:pPr>
            <w:r>
              <w:rPr>
                <w:b/>
              </w:rPr>
              <w:t>"Service Credit Cap"</w:t>
            </w:r>
          </w:p>
        </w:tc>
        <w:tc>
          <w:tcPr>
            <w:tcW w:w="6523" w:type="dxa"/>
          </w:tcPr>
          <w:p w14:paraId="648DC24F" w14:textId="0D3B6C24" w:rsidR="00D31D4F" w:rsidRPr="00A67D27" w:rsidRDefault="00D31D4F" w:rsidP="00D31D4F">
            <w:pPr>
              <w:pStyle w:val="BodyText"/>
              <w:keepNext/>
              <w:tabs>
                <w:tab w:val="left" w:pos="558"/>
              </w:tabs>
              <w:spacing w:before="120" w:after="240"/>
              <w:ind w:left="0"/>
              <w:rPr>
                <w:rFonts w:cs="Arial"/>
              </w:rPr>
            </w:pPr>
            <w:r w:rsidRPr="00504ACC">
              <w:t>15%</w:t>
            </w:r>
            <w:r w:rsidRPr="00FE69D2">
              <w:t xml:space="preserve"> of the monthly </w:t>
            </w:r>
            <w:r>
              <w:t>Service Charges;</w:t>
            </w:r>
            <w:r w:rsidRPr="00FE69D2">
              <w:t xml:space="preserve">  </w:t>
            </w:r>
          </w:p>
        </w:tc>
      </w:tr>
      <w:tr w:rsidR="00D31D4F" w:rsidRPr="0058283A" w14:paraId="5C10E746" w14:textId="77777777" w:rsidTr="00E34B7D">
        <w:tc>
          <w:tcPr>
            <w:tcW w:w="1797" w:type="dxa"/>
          </w:tcPr>
          <w:p w14:paraId="0369E422" w14:textId="77777777" w:rsidR="00D31D4F" w:rsidRPr="003E5F20" w:rsidRDefault="00D31D4F" w:rsidP="00D31D4F">
            <w:pPr>
              <w:widowControl w:val="0"/>
              <w:spacing w:after="120" w:line="240" w:lineRule="atLeast"/>
              <w:ind w:left="0"/>
              <w:rPr>
                <w:rFonts w:cs="Arial"/>
                <w:b/>
              </w:rPr>
            </w:pPr>
            <w:r w:rsidRPr="003E5F20">
              <w:rPr>
                <w:rFonts w:cs="Arial"/>
                <w:b/>
              </w:rPr>
              <w:t>“Service Period”</w:t>
            </w:r>
          </w:p>
        </w:tc>
        <w:tc>
          <w:tcPr>
            <w:tcW w:w="6523" w:type="dxa"/>
          </w:tcPr>
          <w:p w14:paraId="106198A3" w14:textId="77777777" w:rsidR="00D31D4F" w:rsidRPr="003E5F20" w:rsidRDefault="00D31D4F" w:rsidP="00D31D4F">
            <w:pPr>
              <w:pStyle w:val="BodyText"/>
              <w:keepNext/>
              <w:tabs>
                <w:tab w:val="left" w:pos="558"/>
              </w:tabs>
              <w:spacing w:before="120" w:after="240"/>
              <w:ind w:left="0"/>
              <w:rPr>
                <w:rFonts w:cs="Arial"/>
              </w:rPr>
            </w:pPr>
            <w:r w:rsidRPr="003E5F20">
              <w:rPr>
                <w:rFonts w:cs="Arial"/>
              </w:rPr>
              <w:t>in relation to a KPI, the period over which the Supplier’s performance is measured, which shall be a calendar month, save that:</w:t>
            </w:r>
          </w:p>
          <w:p w14:paraId="0B29661B" w14:textId="5A79A7DF" w:rsidR="00D31D4F" w:rsidRPr="003E5F20" w:rsidRDefault="00D31D4F" w:rsidP="00D31D4F">
            <w:pPr>
              <w:pStyle w:val="Heading4"/>
              <w:numPr>
                <w:ilvl w:val="3"/>
                <w:numId w:val="19"/>
              </w:numPr>
              <w:tabs>
                <w:tab w:val="num" w:pos="512"/>
              </w:tabs>
              <w:ind w:left="512" w:hanging="512"/>
              <w:rPr>
                <w:rFonts w:asciiTheme="minorHAnsi" w:hAnsiTheme="minorHAnsi" w:cs="Arial"/>
              </w:rPr>
            </w:pPr>
            <w:r w:rsidRPr="003E5F20">
              <w:rPr>
                <w:rFonts w:asciiTheme="minorHAnsi" w:hAnsiTheme="minorHAnsi" w:cs="Arial"/>
              </w:rPr>
              <w:t xml:space="preserve">the first service period shall begin on the Commencement Date and shall </w:t>
            </w:r>
            <w:r w:rsidRPr="003E5F20">
              <w:t>expire</w:t>
            </w:r>
            <w:r w:rsidRPr="003E5F20">
              <w:rPr>
                <w:rFonts w:asciiTheme="minorHAnsi" w:hAnsiTheme="minorHAnsi" w:cs="Arial"/>
              </w:rPr>
              <w:t xml:space="preserve"> at the end of the calendar month in which the Commencement Date falls; and</w:t>
            </w:r>
          </w:p>
          <w:p w14:paraId="4E3ED8D3" w14:textId="4F76CBC1" w:rsidR="00D31D4F" w:rsidRPr="003E5F20" w:rsidRDefault="00D31D4F" w:rsidP="00D31D4F">
            <w:pPr>
              <w:pStyle w:val="Heading4"/>
              <w:numPr>
                <w:ilvl w:val="3"/>
                <w:numId w:val="19"/>
              </w:numPr>
              <w:tabs>
                <w:tab w:val="num" w:pos="512"/>
              </w:tabs>
              <w:ind w:left="512" w:hanging="512"/>
              <w:rPr>
                <w:rFonts w:asciiTheme="minorHAnsi" w:hAnsiTheme="minorHAnsi" w:cs="Arial"/>
              </w:rPr>
            </w:pPr>
            <w:r w:rsidRPr="003E5F20">
              <w:rPr>
                <w:rFonts w:asciiTheme="minorHAnsi" w:hAnsiTheme="minorHAnsi" w:cs="Arial"/>
              </w:rPr>
              <w:lastRenderedPageBreak/>
              <w:t>the final service period shall commence on the first day of the calendar month in which the Term expires or terminates and shall end on the expiry or termination of the Term;</w:t>
            </w:r>
          </w:p>
        </w:tc>
      </w:tr>
      <w:tr w:rsidR="00D31D4F" w:rsidRPr="0058283A" w14:paraId="6893D51E" w14:textId="77777777" w:rsidTr="00E34B7D">
        <w:tc>
          <w:tcPr>
            <w:tcW w:w="1797" w:type="dxa"/>
          </w:tcPr>
          <w:p w14:paraId="0F85535B" w14:textId="77777777" w:rsidR="00D31D4F" w:rsidRPr="003E5F20" w:rsidRDefault="00D31D4F" w:rsidP="00D31D4F">
            <w:pPr>
              <w:widowControl w:val="0"/>
              <w:spacing w:after="120" w:line="240" w:lineRule="atLeast"/>
              <w:ind w:left="0"/>
              <w:rPr>
                <w:rFonts w:cs="Arial"/>
                <w:b/>
              </w:rPr>
            </w:pPr>
            <w:r w:rsidRPr="003E5F20">
              <w:rPr>
                <w:rFonts w:cs="Arial"/>
                <w:b/>
              </w:rPr>
              <w:lastRenderedPageBreak/>
              <w:t>“Target Performance Level”</w:t>
            </w:r>
          </w:p>
        </w:tc>
        <w:tc>
          <w:tcPr>
            <w:tcW w:w="6523" w:type="dxa"/>
          </w:tcPr>
          <w:p w14:paraId="08DB8541" w14:textId="06B6A6FD" w:rsidR="00D31D4F" w:rsidRPr="003E5F20" w:rsidRDefault="00D31D4F" w:rsidP="00D31D4F">
            <w:pPr>
              <w:pStyle w:val="BodyText"/>
              <w:keepNext/>
              <w:tabs>
                <w:tab w:val="left" w:pos="558"/>
              </w:tabs>
              <w:spacing w:before="120" w:after="240"/>
              <w:ind w:left="0"/>
              <w:rPr>
                <w:rFonts w:cs="Arial"/>
              </w:rPr>
            </w:pPr>
            <w:r w:rsidRPr="003E5F20">
              <w:rPr>
                <w:rFonts w:cs="Arial"/>
              </w:rPr>
              <w:t>the minimum level of performance for a K</w:t>
            </w:r>
            <w:r>
              <w:rPr>
                <w:rFonts w:cs="Arial"/>
              </w:rPr>
              <w:t>PI</w:t>
            </w:r>
            <w:r w:rsidRPr="003E5F20">
              <w:rPr>
                <w:rFonts w:cs="Arial"/>
              </w:rPr>
              <w:t xml:space="preserve"> which is required by the Authority, as set out in the table in Annex 1;</w:t>
            </w:r>
          </w:p>
        </w:tc>
      </w:tr>
      <w:tr w:rsidR="00D31D4F" w:rsidRPr="0058283A" w14:paraId="235E918E" w14:textId="77777777" w:rsidTr="00E34B7D">
        <w:tc>
          <w:tcPr>
            <w:tcW w:w="1797" w:type="dxa"/>
          </w:tcPr>
          <w:p w14:paraId="0A63DD2F" w14:textId="77777777" w:rsidR="00D31D4F" w:rsidRPr="003E5F20" w:rsidRDefault="00D31D4F" w:rsidP="00D31D4F">
            <w:pPr>
              <w:widowControl w:val="0"/>
              <w:spacing w:after="120" w:line="240" w:lineRule="atLeast"/>
              <w:ind w:left="0"/>
              <w:rPr>
                <w:rFonts w:cs="Arial"/>
                <w:b/>
              </w:rPr>
            </w:pPr>
            <w:r w:rsidRPr="003E5F20">
              <w:rPr>
                <w:rFonts w:cs="Arial"/>
                <w:b/>
              </w:rPr>
              <w:t>“Unacceptable KPI Failure”</w:t>
            </w:r>
            <w:r w:rsidRPr="003E5F20">
              <w:rPr>
                <w:rFonts w:cs="Arial"/>
                <w:b/>
              </w:rPr>
              <w:tab/>
            </w:r>
          </w:p>
        </w:tc>
        <w:tc>
          <w:tcPr>
            <w:tcW w:w="6523" w:type="dxa"/>
          </w:tcPr>
          <w:p w14:paraId="3428FC29" w14:textId="53C7ED94" w:rsidR="00D31D4F" w:rsidRPr="003E5F20" w:rsidRDefault="00D31D4F" w:rsidP="00D31D4F">
            <w:pPr>
              <w:pStyle w:val="Heading3"/>
              <w:numPr>
                <w:ilvl w:val="0"/>
                <w:numId w:val="0"/>
              </w:numPr>
              <w:rPr>
                <w:rFonts w:asciiTheme="minorHAnsi" w:hAnsiTheme="minorHAnsi"/>
              </w:rPr>
            </w:pPr>
            <w:r>
              <w:rPr>
                <w:rFonts w:asciiTheme="minorHAnsi" w:hAnsiTheme="minorHAnsi"/>
              </w:rPr>
              <w:t>t</w:t>
            </w:r>
            <w:r w:rsidRPr="003E5F20">
              <w:rPr>
                <w:rFonts w:asciiTheme="minorHAnsi" w:hAnsiTheme="minorHAnsi"/>
              </w:rPr>
              <w:t>h</w:t>
            </w:r>
            <w:r w:rsidRPr="003E5F20">
              <w:rPr>
                <w:rFonts w:asciiTheme="minorHAnsi" w:hAnsiTheme="minorHAnsi"/>
                <w:bCs w:val="0"/>
                <w:lang w:eastAsia="en-GB"/>
              </w:rPr>
              <w:t>e Supplier committing a KPI Failure in respect of 75% or more of the KPIs that are measured in a Service Period.</w:t>
            </w:r>
          </w:p>
        </w:tc>
      </w:tr>
    </w:tbl>
    <w:p w14:paraId="46EEF211" w14:textId="77777777" w:rsidR="00A67D27" w:rsidRDefault="00A67D27" w:rsidP="00A67D27">
      <w:pPr>
        <w:spacing w:after="0"/>
        <w:jc w:val="center"/>
        <w:rPr>
          <w:rFonts w:ascii="Trebuchet MS" w:eastAsia="Times New Roman" w:hAnsi="Trebuchet MS" w:cs="Times New Roman"/>
          <w:b/>
          <w:caps/>
          <w:color w:val="FF0000"/>
        </w:rPr>
      </w:pPr>
    </w:p>
    <w:p w14:paraId="511FAAF9" w14:textId="77777777" w:rsidR="00A67D27" w:rsidRDefault="00A67D27" w:rsidP="00A67D27">
      <w:pPr>
        <w:spacing w:after="0"/>
        <w:jc w:val="center"/>
        <w:rPr>
          <w:rFonts w:ascii="Trebuchet MS" w:hAnsi="Trebuchet MS"/>
          <w:bCs/>
          <w:iCs/>
        </w:rPr>
      </w:pPr>
      <w:r w:rsidRPr="00CE710D">
        <w:rPr>
          <w:rFonts w:ascii="Trebuchet MS" w:eastAsia="Times New Roman" w:hAnsi="Trebuchet MS" w:cs="Times New Roman"/>
          <w:b/>
          <w:caps/>
          <w:color w:val="FF0000"/>
        </w:rPr>
        <w:t xml:space="preserve">PART A: </w:t>
      </w:r>
      <w:r>
        <w:rPr>
          <w:rFonts w:ascii="Trebuchet MS" w:eastAsia="Times New Roman" w:hAnsi="Trebuchet MS" w:cs="Times New Roman"/>
          <w:b/>
          <w:caps/>
          <w:color w:val="FF0000"/>
        </w:rPr>
        <w:t>KPI’s</w:t>
      </w:r>
      <w:r w:rsidRPr="00CE710D">
        <w:rPr>
          <w:rFonts w:ascii="Trebuchet MS" w:eastAsia="Times New Roman" w:hAnsi="Trebuchet MS" w:cs="Times New Roman"/>
          <w:b/>
          <w:caps/>
          <w:color w:val="FF0000"/>
        </w:rPr>
        <w:t xml:space="preserve"> and Service Credits</w:t>
      </w:r>
    </w:p>
    <w:p w14:paraId="7E02B432" w14:textId="77777777" w:rsidR="003E5F20" w:rsidRDefault="003E5F20" w:rsidP="003E5F20">
      <w:pPr>
        <w:spacing w:after="160" w:line="259" w:lineRule="auto"/>
        <w:rPr>
          <w:rFonts w:ascii="Arial" w:eastAsia="Calibri" w:hAnsi="Arial"/>
        </w:rPr>
      </w:pPr>
    </w:p>
    <w:p w14:paraId="48C7EA89" w14:textId="78273767" w:rsidR="003E5F20" w:rsidRPr="007C57B6" w:rsidRDefault="003E5F20" w:rsidP="007D5C22">
      <w:pPr>
        <w:pStyle w:val="Heading2"/>
        <w:numPr>
          <w:ilvl w:val="1"/>
          <w:numId w:val="18"/>
        </w:numPr>
        <w:tabs>
          <w:tab w:val="clear" w:pos="709"/>
          <w:tab w:val="num" w:pos="851"/>
        </w:tabs>
        <w:rPr>
          <w:rFonts w:cs="Arial"/>
        </w:rPr>
      </w:pPr>
      <w:r>
        <w:rPr>
          <w:rFonts w:cs="Arial"/>
        </w:rPr>
        <w:t xml:space="preserve">SERVICE LEVEL </w:t>
      </w:r>
      <w:r w:rsidRPr="003E5F20">
        <w:t>FAILURE</w:t>
      </w:r>
    </w:p>
    <w:p w14:paraId="387D53B9" w14:textId="115CED3D" w:rsidR="003E5F20" w:rsidRDefault="003E5F20" w:rsidP="003E5F20">
      <w:pPr>
        <w:pStyle w:val="Heading3"/>
        <w:ind w:left="709"/>
        <w:rPr>
          <w:rFonts w:eastAsia="Calibri"/>
        </w:rPr>
      </w:pPr>
      <w:r w:rsidRPr="003E5F20">
        <w:rPr>
          <w:rFonts w:eastAsia="Calibri"/>
        </w:rPr>
        <w:t>The Supplier shall at all times provide the Services to meet or exceed the Target Performance Level for each KPI</w:t>
      </w:r>
      <w:r w:rsidR="00C52B3A">
        <w:rPr>
          <w:rFonts w:eastAsia="Calibri"/>
        </w:rPr>
        <w:t xml:space="preserve"> as set out in Annex 1</w:t>
      </w:r>
    </w:p>
    <w:p w14:paraId="4D18AB88" w14:textId="6F4FD206" w:rsidR="00EB38A0" w:rsidRPr="00EB38A0" w:rsidRDefault="00EB38A0" w:rsidP="00EB38A0">
      <w:pPr>
        <w:pStyle w:val="Heading3"/>
        <w:ind w:left="709"/>
      </w:pPr>
      <w:r w:rsidRPr="00EB38A0">
        <w:t>The Target Performance Level is the minimum standard of performance which is required by the Authority.</w:t>
      </w:r>
    </w:p>
    <w:p w14:paraId="70E6E45F" w14:textId="77777777" w:rsidR="00EA0C93" w:rsidRPr="00EA0C93" w:rsidRDefault="00EA0C93" w:rsidP="00EA0C93">
      <w:pPr>
        <w:pStyle w:val="Heading3"/>
        <w:rPr>
          <w:rFonts w:eastAsia="Calibri"/>
        </w:rPr>
      </w:pPr>
      <w:r w:rsidRPr="00EA0C93">
        <w:rPr>
          <w:rFonts w:eastAsia="Calibri"/>
        </w:rPr>
        <w:t>If in any Service Period, a KPI Failure occurs:</w:t>
      </w:r>
    </w:p>
    <w:p w14:paraId="64D412F6" w14:textId="77777777" w:rsidR="00EA0C93" w:rsidRPr="00EA0C93" w:rsidRDefault="00EA0C93" w:rsidP="00EA0C93">
      <w:pPr>
        <w:pStyle w:val="Heading4"/>
      </w:pPr>
      <w:r w:rsidRPr="00EA0C93">
        <w:t>the Supplier shall comply with the Rectification Plan Process; and</w:t>
      </w:r>
    </w:p>
    <w:p w14:paraId="36E84A59" w14:textId="5066288A" w:rsidR="00EA0C93" w:rsidRPr="00EA0C93" w:rsidRDefault="00EA0C93" w:rsidP="00EA0C93">
      <w:pPr>
        <w:pStyle w:val="Heading4"/>
      </w:pPr>
      <w:r w:rsidRPr="00EA0C93">
        <w:t>without prejudice to the Authority's other rights and remedies, the Authority shall be enti</w:t>
      </w:r>
      <w:r>
        <w:t xml:space="preserve">tled to terminate the Agreement under Clause 33.1(b) </w:t>
      </w:r>
      <w:r>
        <w:rPr>
          <w:rFonts w:eastAsia="Calibri"/>
        </w:rPr>
        <w:t xml:space="preserve">(Termination by the Authority) </w:t>
      </w:r>
      <w:r w:rsidRPr="00EA0C93">
        <w:t>if the KPI Failure is an Unacceptable KPI Failure or Critical KPI Failure.</w:t>
      </w:r>
    </w:p>
    <w:p w14:paraId="5E27F74B" w14:textId="2AEF31AA" w:rsidR="00EA0C93" w:rsidRDefault="00EA0C93" w:rsidP="00EA0C93">
      <w:pPr>
        <w:pStyle w:val="Heading3"/>
        <w:ind w:left="709"/>
      </w:pPr>
      <w:r>
        <w:t>Subject to Clause 5.13(d) (</w:t>
      </w:r>
      <w:r w:rsidRPr="00EA0C93">
        <w:rPr>
          <w:i/>
        </w:rPr>
        <w:t>Optional Services</w:t>
      </w:r>
      <w:r>
        <w:t xml:space="preserve">), each KPI which relates to a Service shall apply and be measured from the relevant </w:t>
      </w:r>
      <w:r w:rsidRPr="007E5B77">
        <w:t>Operational Service Date</w:t>
      </w:r>
      <w:r>
        <w:t xml:space="preserve"> of the relevant Service(s) to which that KPI relates (unless otherwise stated in Annex 1). </w:t>
      </w:r>
    </w:p>
    <w:p w14:paraId="3E46DE13" w14:textId="77777777" w:rsidR="00EA0C93" w:rsidRDefault="00EA0C93" w:rsidP="00EA0C93">
      <w:pPr>
        <w:pStyle w:val="Heading3"/>
        <w:ind w:left="709"/>
      </w:pPr>
      <w:r>
        <w:t xml:space="preserve">If the Supplier fails to measure or report on a KPI in accordance with Part B of this Schedule, the Supplier shall be deemed to have failed to meet the Target Performance Level for the relevant KPI in the relevant Measurement Period, unless the Authority otherwise agrees in writing.  </w:t>
      </w:r>
    </w:p>
    <w:p w14:paraId="3FC252F9" w14:textId="77777777" w:rsidR="00EA0C93" w:rsidRDefault="00EA0C93" w:rsidP="00EA0C93">
      <w:pPr>
        <w:pStyle w:val="Heading3"/>
        <w:ind w:left="709"/>
      </w:pPr>
      <w:r>
        <w:t xml:space="preserve">Each Target Performance Level and/or Critical KPI Failure Performance Threshold may only be changed as a result of the application of: </w:t>
      </w:r>
    </w:p>
    <w:p w14:paraId="1CF5ECA8" w14:textId="77777777" w:rsidR="00EA0C93" w:rsidRDefault="00EA0C93" w:rsidP="00EA0C93">
      <w:pPr>
        <w:pStyle w:val="Heading4"/>
        <w:ind w:left="1276" w:hanging="567"/>
      </w:pPr>
      <w:r>
        <w:t>the Change Control Procedure;</w:t>
      </w:r>
    </w:p>
    <w:p w14:paraId="2184A67A" w14:textId="7915428D" w:rsidR="00EA0C93" w:rsidRDefault="00EA0C93" w:rsidP="00EA0C93">
      <w:pPr>
        <w:pStyle w:val="Heading4"/>
        <w:tabs>
          <w:tab w:val="num" w:pos="2694"/>
        </w:tabs>
        <w:ind w:left="1276" w:hanging="567"/>
      </w:pPr>
      <w:r>
        <w:t xml:space="preserve">the continuous improvement requirements set out in Schedule </w:t>
      </w:r>
      <w:r w:rsidR="009E48D4">
        <w:t>7.3</w:t>
      </w:r>
      <w:r>
        <w:t xml:space="preserve"> (</w:t>
      </w:r>
      <w:r w:rsidR="009E48D4">
        <w:rPr>
          <w:i/>
        </w:rPr>
        <w:t>Value for Money</w:t>
      </w:r>
      <w:r>
        <w:t>) of this Agreement which will be addressed through the Change Control Procedure; or</w:t>
      </w:r>
    </w:p>
    <w:p w14:paraId="78F347B2" w14:textId="77777777" w:rsidR="00EA0C93" w:rsidRDefault="00EA0C93" w:rsidP="00EA0C93">
      <w:pPr>
        <w:pStyle w:val="Heading4"/>
        <w:tabs>
          <w:tab w:val="num" w:pos="2694"/>
        </w:tabs>
        <w:ind w:left="1276" w:hanging="567"/>
      </w:pPr>
      <w:r>
        <w:lastRenderedPageBreak/>
        <w:t>the agreed results of a benchmarking exercise which is carried out pursuant to the provisions of Schedule 7.3 (</w:t>
      </w:r>
      <w:r w:rsidRPr="00C77C70">
        <w:rPr>
          <w:i/>
        </w:rPr>
        <w:t>Value for Money</w:t>
      </w:r>
      <w:r>
        <w:t>) which will be addressed through the Change Control Procedure.</w:t>
      </w:r>
    </w:p>
    <w:p w14:paraId="4DE63D89" w14:textId="7C30C43E" w:rsidR="003E5F20" w:rsidRPr="000909CA" w:rsidRDefault="003E5F20" w:rsidP="007D5C22">
      <w:pPr>
        <w:pStyle w:val="Heading2"/>
        <w:numPr>
          <w:ilvl w:val="1"/>
          <w:numId w:val="18"/>
        </w:numPr>
        <w:tabs>
          <w:tab w:val="clear" w:pos="709"/>
          <w:tab w:val="num" w:pos="851"/>
        </w:tabs>
        <w:rPr>
          <w:rFonts w:cs="Arial"/>
        </w:rPr>
      </w:pPr>
      <w:r w:rsidRPr="003E5F20">
        <w:t>REPEAT</w:t>
      </w:r>
      <w:r w:rsidRPr="000909CA">
        <w:rPr>
          <w:rFonts w:cs="Arial"/>
        </w:rPr>
        <w:t xml:space="preserve"> K</w:t>
      </w:r>
      <w:r>
        <w:rPr>
          <w:rFonts w:cs="Arial"/>
        </w:rPr>
        <w:t>PI</w:t>
      </w:r>
      <w:r w:rsidRPr="000909CA">
        <w:rPr>
          <w:rFonts w:cs="Arial"/>
        </w:rPr>
        <w:t xml:space="preserve"> FAILURES </w:t>
      </w:r>
    </w:p>
    <w:p w14:paraId="14D3A2AA" w14:textId="77777777" w:rsidR="003E5F20" w:rsidRPr="003E5F20" w:rsidRDefault="003E5F20" w:rsidP="003E5F20">
      <w:pPr>
        <w:pStyle w:val="Heading3"/>
        <w:ind w:left="709"/>
        <w:rPr>
          <w:rFonts w:eastAsia="Calibri"/>
        </w:rPr>
      </w:pPr>
      <w:r w:rsidRPr="003E5F20">
        <w:rPr>
          <w:rFonts w:eastAsia="Calibri"/>
        </w:rPr>
        <w:t>If a KPI Failure occurs in respect of the same KPI in any two consecutive Measurement Periods, the second and any subsequent such KPI Failure shall be a "</w:t>
      </w:r>
      <w:r w:rsidRPr="003E5F20">
        <w:rPr>
          <w:rFonts w:eastAsia="Calibri"/>
          <w:b/>
        </w:rPr>
        <w:t>Repeat KPI Failure</w:t>
      </w:r>
      <w:r w:rsidRPr="003E5F20">
        <w:rPr>
          <w:rFonts w:eastAsia="Calibri"/>
        </w:rPr>
        <w:t xml:space="preserve">". </w:t>
      </w:r>
    </w:p>
    <w:p w14:paraId="16140AD5" w14:textId="63013C21" w:rsidR="003E5F20" w:rsidRPr="003E5F20" w:rsidRDefault="003E5F20" w:rsidP="003E5F20">
      <w:pPr>
        <w:pStyle w:val="Heading3"/>
        <w:ind w:left="709"/>
        <w:rPr>
          <w:rFonts w:eastAsia="Calibri"/>
        </w:rPr>
      </w:pPr>
      <w:r w:rsidRPr="00A67D27">
        <w:rPr>
          <w:rFonts w:eastAsia="Calibri"/>
        </w:rPr>
        <w:t>In each Performance Monitoring Report</w:t>
      </w:r>
      <w:r w:rsidRPr="003E5F20">
        <w:rPr>
          <w:rFonts w:eastAsia="Calibri"/>
        </w:rPr>
        <w:t>, the Supplier shall track and report on the current number of sequential Repeat KPI Failures for each KPI (the “</w:t>
      </w:r>
      <w:r w:rsidRPr="003E5F20">
        <w:rPr>
          <w:rFonts w:eastAsia="Calibri"/>
          <w:b/>
        </w:rPr>
        <w:t>Repeat Failure Count</w:t>
      </w:r>
      <w:r w:rsidRPr="003E5F20">
        <w:rPr>
          <w:rFonts w:eastAsia="Calibri"/>
        </w:rPr>
        <w:t xml:space="preserve">”).  For example, if a KPI Failure has occurred in three (3) sequential Measurement Periods, the Repeat Failure Count will be two (2). </w:t>
      </w:r>
    </w:p>
    <w:p w14:paraId="19F05444" w14:textId="429CA503" w:rsidR="003E5F20" w:rsidRPr="003E5F20" w:rsidRDefault="003E5F20" w:rsidP="003E5F20">
      <w:pPr>
        <w:pStyle w:val="Heading3"/>
        <w:ind w:left="709"/>
        <w:rPr>
          <w:rFonts w:eastAsia="Calibri"/>
        </w:rPr>
      </w:pPr>
      <w:r w:rsidRPr="003E5F20">
        <w:rPr>
          <w:rFonts w:eastAsia="Calibri"/>
        </w:rPr>
        <w:t xml:space="preserve">When, in a </w:t>
      </w:r>
      <w:r>
        <w:rPr>
          <w:rFonts w:eastAsia="Calibri"/>
        </w:rPr>
        <w:t>Measurement Period</w:t>
      </w:r>
      <w:r w:rsidRPr="003E5F20">
        <w:rPr>
          <w:rFonts w:eastAsia="Calibri"/>
        </w:rPr>
        <w:t>, a KPI with a Repeat Failure Count above zero (0) meets its Target Performance Level, the Repeat Failure Count shall be reset to zero (0).</w:t>
      </w:r>
    </w:p>
    <w:p w14:paraId="33DD61BC" w14:textId="70552CF0" w:rsidR="003E5F20" w:rsidRPr="00EE4EF1" w:rsidRDefault="003E5F20" w:rsidP="007D5C22">
      <w:pPr>
        <w:pStyle w:val="Heading2"/>
        <w:numPr>
          <w:ilvl w:val="1"/>
          <w:numId w:val="18"/>
        </w:numPr>
        <w:tabs>
          <w:tab w:val="clear" w:pos="709"/>
          <w:tab w:val="num" w:pos="851"/>
        </w:tabs>
        <w:rPr>
          <w:rFonts w:cs="Arial"/>
        </w:rPr>
      </w:pPr>
      <w:bookmarkStart w:id="1" w:name="_Ref521072253"/>
      <w:r>
        <w:rPr>
          <w:rFonts w:cs="Arial"/>
        </w:rPr>
        <w:t>COMPENSATION FOR UNACCEPTABLE KPI</w:t>
      </w:r>
      <w:r w:rsidRPr="00EE4EF1">
        <w:rPr>
          <w:rFonts w:cs="Arial"/>
        </w:rPr>
        <w:t xml:space="preserve"> FAILURE</w:t>
      </w:r>
      <w:bookmarkEnd w:id="1"/>
      <w:r w:rsidRPr="00EE4EF1">
        <w:rPr>
          <w:rFonts w:cs="Arial"/>
        </w:rPr>
        <w:t xml:space="preserve"> </w:t>
      </w:r>
    </w:p>
    <w:p w14:paraId="4EFB4981" w14:textId="7FC79404" w:rsidR="003E5F20" w:rsidRPr="003E5F20" w:rsidRDefault="003E5F20" w:rsidP="003E5F20">
      <w:pPr>
        <w:pStyle w:val="Heading3"/>
        <w:ind w:left="709"/>
        <w:rPr>
          <w:rFonts w:eastAsia="Calibri"/>
        </w:rPr>
      </w:pPr>
      <w:bookmarkStart w:id="2" w:name="_Ref522019623"/>
      <w:r w:rsidRPr="003E5F20">
        <w:rPr>
          <w:rFonts w:eastAsia="Calibri"/>
        </w:rPr>
        <w:t xml:space="preserve">On the occurrence of an Unacceptable KPI Failure, the </w:t>
      </w:r>
      <w:r w:rsidR="003C6CAA">
        <w:rPr>
          <w:rFonts w:eastAsia="Calibri"/>
        </w:rPr>
        <w:t>Authority</w:t>
      </w:r>
      <w:r w:rsidRPr="003E5F20">
        <w:rPr>
          <w:rFonts w:eastAsia="Calibri"/>
        </w:rPr>
        <w:t xml:space="preserve"> shall (subject to the Service Credit Cap) be entitled to withhold and retain as compensation a sum equal to any Charges which would otherwise have been due to the Supplier in respect of that Service Period ("</w:t>
      </w:r>
      <w:r w:rsidRPr="003E5F20">
        <w:rPr>
          <w:rFonts w:eastAsia="Calibri"/>
          <w:b/>
        </w:rPr>
        <w:t>Compensation for Unacceptable KPI Failure</w:t>
      </w:r>
      <w:r w:rsidRPr="003E5F20">
        <w:rPr>
          <w:rFonts w:eastAsia="Calibri"/>
        </w:rPr>
        <w:t xml:space="preserve">"), provided that the operation of this </w:t>
      </w:r>
      <w:r w:rsidR="00A67D27">
        <w:rPr>
          <w:rFonts w:eastAsia="Calibri"/>
        </w:rPr>
        <w:t>P</w:t>
      </w:r>
      <w:r w:rsidRPr="003E5F20">
        <w:rPr>
          <w:rFonts w:eastAsia="Calibri"/>
        </w:rPr>
        <w:t xml:space="preserve">aragraph </w:t>
      </w:r>
      <w:r w:rsidR="00D472EF">
        <w:rPr>
          <w:rFonts w:eastAsia="Calibri"/>
        </w:rPr>
        <w:fldChar w:fldCharType="begin"/>
      </w:r>
      <w:r w:rsidR="00D472EF">
        <w:rPr>
          <w:rFonts w:eastAsia="Calibri"/>
        </w:rPr>
        <w:instrText xml:space="preserve"> REF _Ref522019623 \w \h </w:instrText>
      </w:r>
      <w:r w:rsidR="00D472EF">
        <w:rPr>
          <w:rFonts w:eastAsia="Calibri"/>
        </w:rPr>
      </w:r>
      <w:r w:rsidR="00D472EF">
        <w:rPr>
          <w:rFonts w:eastAsia="Calibri"/>
        </w:rPr>
        <w:fldChar w:fldCharType="separate"/>
      </w:r>
      <w:r w:rsidR="007D6A3B">
        <w:rPr>
          <w:rFonts w:eastAsia="Calibri"/>
        </w:rPr>
        <w:t>3.1</w:t>
      </w:r>
      <w:r w:rsidR="00D472EF">
        <w:rPr>
          <w:rFonts w:eastAsia="Calibri"/>
        </w:rPr>
        <w:fldChar w:fldCharType="end"/>
      </w:r>
      <w:r w:rsidR="00D472EF">
        <w:rPr>
          <w:rFonts w:eastAsia="Calibri"/>
        </w:rPr>
        <w:t xml:space="preserve"> </w:t>
      </w:r>
      <w:r w:rsidRPr="003E5F20">
        <w:rPr>
          <w:rFonts w:eastAsia="Calibri"/>
        </w:rPr>
        <w:t xml:space="preserve">shall be without prejudice to the right of the </w:t>
      </w:r>
      <w:r w:rsidR="003C6CAA">
        <w:rPr>
          <w:rFonts w:eastAsia="Calibri"/>
        </w:rPr>
        <w:t>Authority</w:t>
      </w:r>
      <w:r w:rsidRPr="003E5F20">
        <w:rPr>
          <w:rFonts w:eastAsia="Calibri"/>
        </w:rPr>
        <w:t xml:space="preserve"> to terminate this </w:t>
      </w:r>
      <w:r w:rsidR="00A67D27">
        <w:rPr>
          <w:rFonts w:eastAsia="Calibri"/>
        </w:rPr>
        <w:t>Agreement</w:t>
      </w:r>
      <w:r w:rsidRPr="003E5F20">
        <w:rPr>
          <w:rFonts w:eastAsia="Calibri"/>
        </w:rPr>
        <w:t xml:space="preserve"> and/or to claim damages from the Supplier for material Default.</w:t>
      </w:r>
      <w:bookmarkEnd w:id="2"/>
      <w:r w:rsidRPr="003E5F20">
        <w:rPr>
          <w:rFonts w:eastAsia="Calibri"/>
        </w:rPr>
        <w:t xml:space="preserve"> </w:t>
      </w:r>
    </w:p>
    <w:p w14:paraId="193FBC66" w14:textId="75CF2F91" w:rsidR="003E5F20" w:rsidRPr="003E5F20" w:rsidRDefault="003E5F20" w:rsidP="003E5F20">
      <w:pPr>
        <w:pStyle w:val="Heading3"/>
        <w:ind w:left="709"/>
        <w:rPr>
          <w:rFonts w:eastAsia="Calibri"/>
        </w:rPr>
      </w:pPr>
      <w:r w:rsidRPr="003E5F20">
        <w:rPr>
          <w:rFonts w:eastAsia="Calibri"/>
        </w:rPr>
        <w:t xml:space="preserve">If the level of performance of the Supplier is likely to cause or causes an Unacceptable KPI Failure to occur, the Supplier shall immediately notify the </w:t>
      </w:r>
      <w:r w:rsidR="003C6CAA">
        <w:rPr>
          <w:rFonts w:eastAsia="Calibri"/>
        </w:rPr>
        <w:t>Authority</w:t>
      </w:r>
      <w:r w:rsidRPr="003E5F20">
        <w:rPr>
          <w:rFonts w:eastAsia="Calibri"/>
        </w:rPr>
        <w:t xml:space="preserve"> in writing and the </w:t>
      </w:r>
      <w:r w:rsidR="003C6CAA">
        <w:rPr>
          <w:rFonts w:eastAsia="Calibri"/>
        </w:rPr>
        <w:t>Authority</w:t>
      </w:r>
      <w:r w:rsidRPr="003E5F20">
        <w:rPr>
          <w:rFonts w:eastAsia="Calibri"/>
        </w:rPr>
        <w:t>, in its absolute discretion and without limiting any other of its rights, may:</w:t>
      </w:r>
    </w:p>
    <w:p w14:paraId="3D2B4310" w14:textId="77777777" w:rsidR="003E5F20" w:rsidRPr="003E5F20" w:rsidRDefault="003E5F20" w:rsidP="003E5F20">
      <w:pPr>
        <w:pStyle w:val="Heading4"/>
        <w:tabs>
          <w:tab w:val="clear" w:pos="2269"/>
          <w:tab w:val="num" w:pos="709"/>
        </w:tabs>
        <w:ind w:left="1276" w:hanging="567"/>
      </w:pPr>
      <w:r w:rsidRPr="006E5C4C">
        <w:rPr>
          <w:rFonts w:eastAsia="Calibri"/>
        </w:rPr>
        <w:t xml:space="preserve">require the </w:t>
      </w:r>
      <w:r w:rsidRPr="003E5F20">
        <w:t>Supplier to immediately take all remedial action that is reasonable to mitigate the impact on the Authority and to rectify or prevent an Unacceptable KPI Failure from taking place or recurring;</w:t>
      </w:r>
    </w:p>
    <w:p w14:paraId="3FB88485" w14:textId="77777777" w:rsidR="003E5F20" w:rsidRDefault="003E5F20" w:rsidP="003E5F20">
      <w:pPr>
        <w:pStyle w:val="Heading4"/>
        <w:tabs>
          <w:tab w:val="clear" w:pos="2269"/>
          <w:tab w:val="num" w:pos="709"/>
        </w:tabs>
        <w:ind w:left="1276" w:hanging="567"/>
      </w:pPr>
      <w:r w:rsidRPr="003E5F20">
        <w:t xml:space="preserve">exercise any right that it has pursuant to Paragraph </w:t>
      </w:r>
      <w:r w:rsidRPr="003E5F20">
        <w:fldChar w:fldCharType="begin"/>
      </w:r>
      <w:r w:rsidRPr="003E5F20">
        <w:instrText xml:space="preserve"> REF _Ref522019623 \r \h  \* MERGEFORMAT </w:instrText>
      </w:r>
      <w:r w:rsidRPr="003E5F20">
        <w:fldChar w:fldCharType="separate"/>
      </w:r>
      <w:r w:rsidR="007D6A3B">
        <w:t>3.1</w:t>
      </w:r>
      <w:r w:rsidRPr="003E5F20">
        <w:fldChar w:fldCharType="end"/>
      </w:r>
      <w:r w:rsidRPr="003E5F20">
        <w:t xml:space="preserve"> above. </w:t>
      </w:r>
    </w:p>
    <w:p w14:paraId="1612AE61" w14:textId="7986D06A" w:rsidR="00EA0C93" w:rsidRDefault="00EA0C93" w:rsidP="00EA0C93">
      <w:pPr>
        <w:pStyle w:val="Heading3"/>
        <w:ind w:left="709"/>
      </w:pPr>
      <w:r w:rsidRPr="00906A8B">
        <w:t xml:space="preserve">The Supplier agrees that the application of </w:t>
      </w:r>
      <w:r>
        <w:t>Paragraph</w:t>
      </w:r>
      <w:r w:rsidRPr="00906A8B">
        <w:t> </w:t>
      </w:r>
      <w:r>
        <w:fldChar w:fldCharType="begin"/>
      </w:r>
      <w:r>
        <w:instrText xml:space="preserve"> REF _Ref522172869 \r \h </w:instrText>
      </w:r>
      <w:r>
        <w:fldChar w:fldCharType="separate"/>
      </w:r>
      <w:r w:rsidR="007D6A3B">
        <w:t>3.1</w:t>
      </w:r>
      <w:r>
        <w:fldChar w:fldCharType="end"/>
      </w:r>
      <w:r w:rsidRPr="00906A8B">
        <w:t xml:space="preserve"> is commercially justifiable where an Unacceptable KPI Failure occurs.</w:t>
      </w:r>
    </w:p>
    <w:p w14:paraId="48454C87" w14:textId="77777777" w:rsidR="0084698B" w:rsidRPr="00A72D3F" w:rsidRDefault="0084698B" w:rsidP="0084698B">
      <w:pPr>
        <w:pStyle w:val="Heading2"/>
        <w:numPr>
          <w:ilvl w:val="1"/>
          <w:numId w:val="18"/>
        </w:numPr>
        <w:tabs>
          <w:tab w:val="clear" w:pos="709"/>
          <w:tab w:val="num" w:pos="851"/>
        </w:tabs>
      </w:pPr>
      <w:r w:rsidRPr="0084698B">
        <w:rPr>
          <w:rFonts w:cs="Arial"/>
        </w:rPr>
        <w:t>FORCE</w:t>
      </w:r>
      <w:r>
        <w:t xml:space="preserve"> MAJEURE EVENT</w:t>
      </w:r>
    </w:p>
    <w:p w14:paraId="2595C484" w14:textId="4E24BB8B" w:rsidR="0084698B" w:rsidRPr="00A72D3F" w:rsidRDefault="0084698B" w:rsidP="0084698B">
      <w:pPr>
        <w:pStyle w:val="Heading3"/>
        <w:ind w:left="709"/>
        <w:rPr>
          <w:rFonts w:ascii="Calibri" w:eastAsia="Times New Roman" w:hAnsi="Calibri" w:cs="Times New Roman"/>
          <w:lang w:eastAsia="en-GB"/>
        </w:rPr>
      </w:pPr>
      <w:r w:rsidRPr="00A72D3F">
        <w:rPr>
          <w:rFonts w:ascii="Trebuchet MS" w:eastAsia="Times New Roman" w:hAnsi="Trebuchet MS" w:cs="Arial"/>
          <w:szCs w:val="20"/>
        </w:rPr>
        <w:t>T</w:t>
      </w:r>
      <w:r w:rsidRPr="00A72D3F">
        <w:rPr>
          <w:rFonts w:ascii="Trebuchet MS" w:eastAsia="Times New Roman" w:hAnsi="Trebuchet MS" w:cs="Times New Roman"/>
        </w:rPr>
        <w:t xml:space="preserve">he Authority shall not be entitle </w:t>
      </w:r>
      <w:r>
        <w:rPr>
          <w:rFonts w:ascii="Trebuchet MS" w:eastAsia="Times New Roman" w:hAnsi="Trebuchet MS" w:cs="Times New Roman"/>
        </w:rPr>
        <w:t>to</w:t>
      </w:r>
      <w:r w:rsidRPr="00A72D3F">
        <w:rPr>
          <w:rFonts w:ascii="Trebuchet MS" w:eastAsia="Times New Roman" w:hAnsi="Trebuchet MS" w:cs="Times New Roman"/>
          <w:lang w:eastAsia="en-GB"/>
        </w:rPr>
        <w:t xml:space="preserve"> withhold and retain any of the Service Charges </w:t>
      </w:r>
      <w:r w:rsidRPr="00A72D3F">
        <w:t>as</w:t>
      </w:r>
      <w:r w:rsidRPr="00A72D3F">
        <w:rPr>
          <w:rFonts w:ascii="Trebuchet MS" w:eastAsia="Times New Roman" w:hAnsi="Trebuchet MS" w:cs="Times New Roman"/>
          <w:lang w:eastAsia="en-GB"/>
        </w:rPr>
        <w:t xml:space="preserve"> Compensation for Unacceptable KPI Failure to the extent that a KPI Failure has been caused by the Force Majeure Event</w:t>
      </w:r>
      <w:r>
        <w:rPr>
          <w:rFonts w:ascii="Trebuchet MS" w:eastAsia="Times New Roman" w:hAnsi="Trebuchet MS" w:cs="Times New Roman"/>
          <w:lang w:eastAsia="en-GB"/>
        </w:rPr>
        <w:t>.</w:t>
      </w:r>
    </w:p>
    <w:p w14:paraId="67DE9FF1" w14:textId="76CD1E5B" w:rsidR="00D31D4F" w:rsidRDefault="00D31D4F" w:rsidP="0084698B">
      <w:r>
        <w:br w:type="page"/>
      </w:r>
    </w:p>
    <w:p w14:paraId="320B58B3" w14:textId="77777777" w:rsidR="00A67D27" w:rsidRPr="00021F48" w:rsidRDefault="00A67D27" w:rsidP="00A67D27">
      <w:pPr>
        <w:pStyle w:val="Heading1"/>
        <w:keepNext/>
        <w:numPr>
          <w:ilvl w:val="0"/>
          <w:numId w:val="0"/>
        </w:numPr>
        <w:spacing w:before="120"/>
        <w:ind w:left="-57"/>
        <w:rPr>
          <w:bCs/>
          <w:color w:val="FF0000"/>
        </w:rPr>
      </w:pPr>
      <w:r w:rsidRPr="00021F48">
        <w:rPr>
          <w:color w:val="FF0000"/>
        </w:rPr>
        <w:lastRenderedPageBreak/>
        <w:t xml:space="preserve">PART B: </w:t>
      </w:r>
      <w:r w:rsidRPr="00021F48">
        <w:rPr>
          <w:bCs/>
          <w:color w:val="FF0000"/>
        </w:rPr>
        <w:t>Performance Monitoring</w:t>
      </w:r>
    </w:p>
    <w:p w14:paraId="05419136" w14:textId="77777777" w:rsidR="00A67D27" w:rsidRPr="00021F48" w:rsidRDefault="00A67D27" w:rsidP="007D5C22">
      <w:pPr>
        <w:pStyle w:val="Heading2"/>
        <w:numPr>
          <w:ilvl w:val="1"/>
          <w:numId w:val="22"/>
        </w:numPr>
      </w:pPr>
      <w:r w:rsidRPr="00021F48">
        <w:t>PERFORMANCE MONITORING AND PERFORMANCE REVIEW</w:t>
      </w:r>
    </w:p>
    <w:p w14:paraId="3F6C7BFD" w14:textId="34889450" w:rsidR="00A67D27" w:rsidRPr="00021F48" w:rsidRDefault="00A67D27" w:rsidP="00A67D27">
      <w:pPr>
        <w:pStyle w:val="Heading3"/>
        <w:ind w:left="709"/>
      </w:pPr>
      <w:r w:rsidRPr="00021F48">
        <w:t xml:space="preserve">Within 10 Working Days of the end of each Service Period, the Supplier shall provide a report to the Authority Representative which summarises the performance by the </w:t>
      </w:r>
      <w:r w:rsidRPr="00A67D27">
        <w:rPr>
          <w:rFonts w:eastAsia="Calibri"/>
        </w:rPr>
        <w:t>Supplier</w:t>
      </w:r>
      <w:r w:rsidRPr="00021F48">
        <w:t xml:space="preserve"> against each of the applicable Target Performance Levels as more particularly described in Paragraph </w:t>
      </w:r>
      <w:r w:rsidR="009D513E">
        <w:fldChar w:fldCharType="begin"/>
      </w:r>
      <w:r w:rsidR="009D513E">
        <w:instrText xml:space="preserve"> REF _Ref522123126 \w \h </w:instrText>
      </w:r>
      <w:r w:rsidR="009D513E">
        <w:fldChar w:fldCharType="separate"/>
      </w:r>
      <w:r w:rsidR="007D6A3B">
        <w:t>1.2</w:t>
      </w:r>
      <w:r w:rsidR="009D513E">
        <w:fldChar w:fldCharType="end"/>
      </w:r>
      <w:r w:rsidR="009D513E">
        <w:t xml:space="preserve"> </w:t>
      </w:r>
      <w:r w:rsidRPr="00021F48">
        <w:t>of this Part B (the “</w:t>
      </w:r>
      <w:r w:rsidRPr="00A67D27">
        <w:rPr>
          <w:b/>
        </w:rPr>
        <w:t>Performance Monitoring Report</w:t>
      </w:r>
      <w:r w:rsidRPr="00021F48">
        <w:t>”).</w:t>
      </w:r>
    </w:p>
    <w:p w14:paraId="3FDD7BAA" w14:textId="77777777" w:rsidR="00A67D27" w:rsidRPr="00021F48" w:rsidRDefault="00A67D27" w:rsidP="00A67D27">
      <w:pPr>
        <w:pStyle w:val="Heading3"/>
        <w:ind w:left="709"/>
      </w:pPr>
      <w:bookmarkStart w:id="3" w:name="_Ref522123126"/>
      <w:r w:rsidRPr="00021F48">
        <w:t xml:space="preserve">The Performance </w:t>
      </w:r>
      <w:r w:rsidRPr="00A67D27">
        <w:rPr>
          <w:rFonts w:eastAsia="Calibri"/>
        </w:rPr>
        <w:t>Monitoring</w:t>
      </w:r>
      <w:r w:rsidRPr="00021F48">
        <w:t xml:space="preserve"> Report shall be in such format as requested by the Authority from time to time, but shall contain, as a minimum, the following information:</w:t>
      </w:r>
      <w:bookmarkEnd w:id="3"/>
    </w:p>
    <w:p w14:paraId="2EDE1209" w14:textId="77777777" w:rsidR="00A67D27" w:rsidRPr="00021F48" w:rsidRDefault="00A67D27" w:rsidP="00A67D27">
      <w:pPr>
        <w:pStyle w:val="SubHeadNoNumber"/>
      </w:pPr>
      <w:r w:rsidRPr="00021F48">
        <w:t>Information in respect of the Service Period just ended</w:t>
      </w:r>
    </w:p>
    <w:p w14:paraId="18669E9E" w14:textId="77777777" w:rsidR="00A67D27" w:rsidRPr="00021F48" w:rsidRDefault="00A67D27" w:rsidP="00A67D27">
      <w:pPr>
        <w:pStyle w:val="Heading4"/>
        <w:tabs>
          <w:tab w:val="clear" w:pos="2269"/>
          <w:tab w:val="num" w:pos="709"/>
        </w:tabs>
        <w:ind w:left="1276" w:hanging="567"/>
      </w:pPr>
      <w:r w:rsidRPr="00021F48">
        <w:t xml:space="preserve">for each </w:t>
      </w:r>
      <w:r>
        <w:t>KPI</w:t>
      </w:r>
      <w:r w:rsidRPr="00021F48">
        <w:t xml:space="preserve"> the actual performance achieved over the Service Period and the relevant Measurement Period which has just ended, and that achieved over the previous three (3) relevant Measurement Periods; </w:t>
      </w:r>
    </w:p>
    <w:p w14:paraId="33DFC17B" w14:textId="77777777" w:rsidR="00A67D27" w:rsidRPr="00021F48" w:rsidRDefault="00A67D27" w:rsidP="00A67D27">
      <w:pPr>
        <w:pStyle w:val="Heading4"/>
        <w:tabs>
          <w:tab w:val="clear" w:pos="2269"/>
          <w:tab w:val="num" w:pos="709"/>
        </w:tabs>
        <w:ind w:left="1276" w:hanging="567"/>
      </w:pPr>
      <w:r w:rsidRPr="00021F48">
        <w:t>a summary of all KPI Failures that occurred during or which have occurred by the end of the Service Period;</w:t>
      </w:r>
    </w:p>
    <w:p w14:paraId="2A0E5A5C" w14:textId="43F2D1A0" w:rsidR="00A67D27" w:rsidRPr="00021F48" w:rsidRDefault="00A67D27" w:rsidP="00A67D27">
      <w:pPr>
        <w:pStyle w:val="Heading4"/>
        <w:tabs>
          <w:tab w:val="clear" w:pos="2269"/>
          <w:tab w:val="num" w:pos="709"/>
        </w:tabs>
        <w:ind w:left="1276" w:hanging="567"/>
      </w:pPr>
      <w:r w:rsidRPr="00021F48">
        <w:t>the Severity Level of each KPI Failure which occ</w:t>
      </w:r>
      <w:r w:rsidR="00642CF7">
        <w:t xml:space="preserve">urred during the Service Period </w:t>
      </w:r>
      <w:r w:rsidRPr="00021F48">
        <w:t>or by the end of it;</w:t>
      </w:r>
    </w:p>
    <w:p w14:paraId="03AD4AA0" w14:textId="77777777" w:rsidR="00A67D27" w:rsidRPr="00021F48" w:rsidRDefault="00A67D27" w:rsidP="00A67D27">
      <w:pPr>
        <w:pStyle w:val="Heading4"/>
        <w:tabs>
          <w:tab w:val="clear" w:pos="2269"/>
          <w:tab w:val="num" w:pos="709"/>
        </w:tabs>
        <w:ind w:left="1276" w:hanging="567"/>
      </w:pPr>
      <w:r w:rsidRPr="00021F48">
        <w:t>which KPI Failures remain outstanding and progress in resolving them;</w:t>
      </w:r>
    </w:p>
    <w:p w14:paraId="2A148F61" w14:textId="77777777" w:rsidR="00A67D27" w:rsidRPr="00021F48" w:rsidRDefault="00A67D27" w:rsidP="00A67D27">
      <w:pPr>
        <w:pStyle w:val="Heading4"/>
        <w:tabs>
          <w:tab w:val="clear" w:pos="2269"/>
          <w:tab w:val="num" w:pos="709"/>
        </w:tabs>
        <w:ind w:left="1276" w:hanging="567"/>
      </w:pPr>
      <w:r w:rsidRPr="00021F48">
        <w:t xml:space="preserve">for any Critical KPI Failures occurring during or by the end of the Service Period, the cause of the relevant KPI Failure and the action being taken to reduce the likelihood of recurrence; </w:t>
      </w:r>
    </w:p>
    <w:p w14:paraId="71CD3901" w14:textId="77777777" w:rsidR="00A67D27" w:rsidRPr="00021F48" w:rsidRDefault="00A67D27" w:rsidP="00A67D27">
      <w:pPr>
        <w:pStyle w:val="Heading4"/>
        <w:tabs>
          <w:tab w:val="clear" w:pos="2269"/>
          <w:tab w:val="num" w:pos="709"/>
        </w:tabs>
        <w:ind w:left="1276" w:hanging="567"/>
      </w:pPr>
      <w:r w:rsidRPr="00021F48">
        <w:t>the status of any outstanding Rectification Plan processes, including:</w:t>
      </w:r>
    </w:p>
    <w:p w14:paraId="6910C11D" w14:textId="77777777" w:rsidR="00A67D27" w:rsidRPr="00021F48" w:rsidRDefault="00A67D27" w:rsidP="00A67D27">
      <w:pPr>
        <w:pStyle w:val="Heading4"/>
        <w:tabs>
          <w:tab w:val="clear" w:pos="2269"/>
          <w:tab w:val="num" w:pos="709"/>
        </w:tabs>
        <w:ind w:left="1276" w:hanging="567"/>
      </w:pPr>
      <w:r w:rsidRPr="00021F48">
        <w:t>whether or not a Rectification Plan has been agreed; and</w:t>
      </w:r>
    </w:p>
    <w:p w14:paraId="42CD6926" w14:textId="77777777" w:rsidR="00A67D27" w:rsidRPr="00021F48" w:rsidRDefault="00A67D27" w:rsidP="00A67D27">
      <w:pPr>
        <w:pStyle w:val="Heading4"/>
        <w:tabs>
          <w:tab w:val="clear" w:pos="2269"/>
          <w:tab w:val="num" w:pos="709"/>
        </w:tabs>
        <w:ind w:left="1276" w:hanging="567"/>
      </w:pPr>
      <w:r w:rsidRPr="00021F48">
        <w:t>where a Rectification Plan has been agreed, a summary of the Supplier’s progress in implementing that Rectification Plan;</w:t>
      </w:r>
    </w:p>
    <w:p w14:paraId="5D47BB0F" w14:textId="77777777" w:rsidR="00A67D27" w:rsidRPr="00021F48" w:rsidRDefault="00A67D27" w:rsidP="00A67D27">
      <w:pPr>
        <w:pStyle w:val="Heading4"/>
        <w:tabs>
          <w:tab w:val="clear" w:pos="2269"/>
          <w:tab w:val="num" w:pos="709"/>
        </w:tabs>
        <w:ind w:left="1276" w:hanging="567"/>
      </w:pPr>
      <w:r w:rsidRPr="00021F48">
        <w:t>for any Repeat KPI Failures, actions taken to resolve the underlying cause and prevent recurrence;</w:t>
      </w:r>
    </w:p>
    <w:p w14:paraId="2F8FCBC3" w14:textId="31F31C17" w:rsidR="007D5C22" w:rsidRPr="007D5C22" w:rsidRDefault="009D513E" w:rsidP="007D5C22">
      <w:pPr>
        <w:pStyle w:val="Heading4"/>
        <w:tabs>
          <w:tab w:val="clear" w:pos="2269"/>
          <w:tab w:val="num" w:pos="709"/>
        </w:tabs>
        <w:ind w:left="1276" w:hanging="567"/>
      </w:pPr>
      <w:r>
        <w:t xml:space="preserve">the amount of </w:t>
      </w:r>
      <w:r w:rsidR="007D5C22">
        <w:t xml:space="preserve">Compensation for Unacceptable KPI Failure </w:t>
      </w:r>
      <w:r w:rsidR="007D5C22" w:rsidRPr="007D5C22">
        <w:t xml:space="preserve">to be applied, indicating the KPI Failure(s) to which the </w:t>
      </w:r>
      <w:r w:rsidR="007D5C22">
        <w:t xml:space="preserve">Compensation for Unacceptable KPI Failure </w:t>
      </w:r>
      <w:r w:rsidR="007D5C22" w:rsidRPr="007D5C22">
        <w:t>relate</w:t>
      </w:r>
      <w:r w:rsidR="007D5C22">
        <w:t>s</w:t>
      </w:r>
      <w:r w:rsidR="007D5C22" w:rsidRPr="007D5C22">
        <w:t>;</w:t>
      </w:r>
    </w:p>
    <w:p w14:paraId="49032302" w14:textId="77777777" w:rsidR="00A67D27" w:rsidRPr="00021F48" w:rsidRDefault="00A67D27" w:rsidP="00A67D27">
      <w:pPr>
        <w:pStyle w:val="Heading4"/>
        <w:tabs>
          <w:tab w:val="clear" w:pos="2269"/>
          <w:tab w:val="num" w:pos="709"/>
        </w:tabs>
        <w:ind w:left="1276" w:hanging="567"/>
      </w:pPr>
      <w:r w:rsidRPr="00021F48">
        <w:t xml:space="preserve">relevant particulars of any aspects of the Supplier’s performance which fail to meet the requirements of this Agreement; </w:t>
      </w:r>
    </w:p>
    <w:p w14:paraId="1862D8B3" w14:textId="77777777" w:rsidR="00A67D27" w:rsidRPr="00021F48" w:rsidRDefault="00A67D27" w:rsidP="00A67D27">
      <w:pPr>
        <w:pStyle w:val="Heading4"/>
        <w:tabs>
          <w:tab w:val="clear" w:pos="2269"/>
          <w:tab w:val="num" w:pos="709"/>
        </w:tabs>
        <w:ind w:left="1276" w:hanging="567"/>
      </w:pPr>
      <w:r w:rsidRPr="00021F48">
        <w:t xml:space="preserve">such other details as the Authority may reasonably require from time to time; </w:t>
      </w:r>
    </w:p>
    <w:p w14:paraId="231FFDC2" w14:textId="77777777" w:rsidR="00A67D27" w:rsidRPr="00021F48" w:rsidRDefault="00A67D27" w:rsidP="00A67D27">
      <w:pPr>
        <w:pStyle w:val="SubHeadNoNumber"/>
      </w:pPr>
      <w:r w:rsidRPr="00021F48">
        <w:lastRenderedPageBreak/>
        <w:t>Information in respect of previous Service Periods</w:t>
      </w:r>
    </w:p>
    <w:p w14:paraId="1D56ADD5" w14:textId="77777777" w:rsidR="00A67D27" w:rsidRPr="00021F48" w:rsidRDefault="00A67D27" w:rsidP="00A67D27">
      <w:pPr>
        <w:pStyle w:val="Heading4"/>
        <w:tabs>
          <w:tab w:val="clear" w:pos="2269"/>
          <w:tab w:val="num" w:pos="709"/>
        </w:tabs>
        <w:ind w:left="1276" w:hanging="567"/>
      </w:pPr>
      <w:r w:rsidRPr="00021F48">
        <w:t>a rolling total of the number of KPI Failures that have occurred over or by the end of the past six Service Periods, including any Repeat Failure Counts; and</w:t>
      </w:r>
    </w:p>
    <w:p w14:paraId="21577A41" w14:textId="73EE9B29" w:rsidR="00A67D27" w:rsidRPr="00021F48" w:rsidRDefault="00A67D27" w:rsidP="009D513E">
      <w:pPr>
        <w:pStyle w:val="Heading4"/>
        <w:tabs>
          <w:tab w:val="clear" w:pos="2269"/>
          <w:tab w:val="num" w:pos="709"/>
        </w:tabs>
        <w:ind w:left="1276" w:hanging="567"/>
      </w:pPr>
      <w:r w:rsidRPr="00021F48">
        <w:t xml:space="preserve">the amount of </w:t>
      </w:r>
      <w:r w:rsidR="007D5C22">
        <w:t xml:space="preserve">Compensation for Unacceptable KPI Failure </w:t>
      </w:r>
      <w:r w:rsidR="009D513E">
        <w:t>that has</w:t>
      </w:r>
      <w:r w:rsidRPr="00021F48">
        <w:t xml:space="preserve"> been incurred by the Supplier over or by the end of the past six Service Periods. </w:t>
      </w:r>
    </w:p>
    <w:p w14:paraId="33F9DA18" w14:textId="7D0CECCB" w:rsidR="00A67D27" w:rsidRDefault="009D513E" w:rsidP="009D513E">
      <w:pPr>
        <w:pStyle w:val="Heading2"/>
        <w:numPr>
          <w:ilvl w:val="0"/>
          <w:numId w:val="0"/>
        </w:numPr>
        <w:ind w:left="709"/>
      </w:pPr>
      <w:r>
        <w:t>Performance Disputes</w:t>
      </w:r>
    </w:p>
    <w:p w14:paraId="13309354" w14:textId="22CCE04F" w:rsidR="00A67D27" w:rsidRDefault="00A67D27" w:rsidP="00A67D27">
      <w:pPr>
        <w:pStyle w:val="Heading3"/>
        <w:ind w:left="709"/>
      </w:pPr>
      <w:r>
        <w:t>The Performance Monitoring Report shall be reviewed by the Authority including at the next Performance Review Meeting held in accordance with Paragraph </w:t>
      </w:r>
      <w:r w:rsidR="009D513E">
        <w:fldChar w:fldCharType="begin"/>
      </w:r>
      <w:r w:rsidR="009D513E">
        <w:instrText xml:space="preserve"> REF _Ref522123174 \w \h </w:instrText>
      </w:r>
      <w:r w:rsidR="009D513E">
        <w:fldChar w:fldCharType="separate"/>
      </w:r>
      <w:r w:rsidR="007D6A3B">
        <w:t>1.4</w:t>
      </w:r>
      <w:r w:rsidR="009D513E">
        <w:fldChar w:fldCharType="end"/>
      </w:r>
      <w:r>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t>KPI</w:t>
      </w:r>
      <w:r>
        <w:t xml:space="preserve">. In the event of any dispute or difference between the Supplier's assessment and the Authority's assessment in respect of a </w:t>
      </w:r>
      <w:r w:rsidR="009D513E">
        <w:t>KPI</w:t>
      </w:r>
      <w:r>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such dispute or difference in accordance with the Dispute Resolution Procedure.  </w:t>
      </w:r>
    </w:p>
    <w:p w14:paraId="4990B15E" w14:textId="77777777" w:rsidR="00A67D27" w:rsidRDefault="00A67D27" w:rsidP="00A67D27">
      <w:pPr>
        <w:pStyle w:val="Heading3"/>
        <w:ind w:left="709"/>
      </w:pPr>
      <w:bookmarkStart w:id="4" w:name="_Ref522123174"/>
      <w:r>
        <w:t>The Parties shall attend meetings on a monthly basis (unless otherwise agreed) to review the Performance Monitoring Reports. These meetings (</w:t>
      </w:r>
      <w:r w:rsidRPr="00A67D27">
        <w:rPr>
          <w:b/>
        </w:rPr>
        <w:t>"Performance Review Meetings"</w:t>
      </w:r>
      <w:r>
        <w:t>) shall (unless otherwise agreed):</w:t>
      </w:r>
      <w:bookmarkEnd w:id="4"/>
    </w:p>
    <w:p w14:paraId="4EF1314C" w14:textId="77777777" w:rsidR="00A67D27" w:rsidRDefault="00A67D27" w:rsidP="009D513E">
      <w:pPr>
        <w:pStyle w:val="Heading4"/>
        <w:tabs>
          <w:tab w:val="clear" w:pos="2269"/>
          <w:tab w:val="num" w:pos="709"/>
        </w:tabs>
        <w:ind w:left="1276" w:hanging="567"/>
      </w:pPr>
      <w:r>
        <w:t>take place within 5 Working Days of the Performance Monitoring Report being issued by the Supplier;</w:t>
      </w:r>
    </w:p>
    <w:p w14:paraId="15FD1BC2" w14:textId="77777777" w:rsidR="00A67D27" w:rsidRDefault="00A67D27" w:rsidP="009D513E">
      <w:pPr>
        <w:pStyle w:val="Heading4"/>
        <w:tabs>
          <w:tab w:val="clear" w:pos="2269"/>
          <w:tab w:val="num" w:pos="709"/>
        </w:tabs>
        <w:ind w:left="1276" w:hanging="567"/>
      </w:pPr>
      <w:r>
        <w:t>take place at such location and time (within normal business hours) as the Authority shall reasonably require (unless otherwise agreed in advance); and</w:t>
      </w:r>
    </w:p>
    <w:p w14:paraId="2A1EB194" w14:textId="77777777" w:rsidR="00A67D27" w:rsidRDefault="00A67D27" w:rsidP="009D513E">
      <w:pPr>
        <w:pStyle w:val="Heading4"/>
        <w:tabs>
          <w:tab w:val="clear" w:pos="2269"/>
          <w:tab w:val="num" w:pos="709"/>
        </w:tabs>
        <w:ind w:left="1276" w:hanging="567"/>
      </w:pPr>
      <w:r>
        <w:t xml:space="preserve">be attended by the Supplier Representative and the Authority Representative. </w:t>
      </w:r>
    </w:p>
    <w:p w14:paraId="768F34E8" w14:textId="77777777" w:rsidR="00A67D27" w:rsidRDefault="00A67D27" w:rsidP="00A67D27">
      <w:pPr>
        <w:pStyle w:val="Heading3"/>
        <w:ind w:left="709"/>
      </w:pPr>
      <w:r>
        <w:t xml:space="preserve">The Authority shall be entitled to raise any additional questions and/or request any further information from the Supplier regarding any KPI Failure. </w:t>
      </w:r>
    </w:p>
    <w:p w14:paraId="6EEDA6AF" w14:textId="77777777" w:rsidR="00A67D27" w:rsidRDefault="00A67D27" w:rsidP="00A67D27">
      <w:pPr>
        <w:pStyle w:val="Heading3"/>
        <w:ind w:left="709"/>
      </w:pPr>
      <w:r>
        <w:t>In addition to the requirements above and elsewhere in this Agreement to maintain and provide appropriate documents and records, the Supplier shall provide to the Authority such supporting documentation as the Authority may reasonably request from time to time in order to verify the level of the performance of the Supplier.</w:t>
      </w:r>
      <w:r w:rsidRPr="00A67D27">
        <w:rPr>
          <w:b/>
          <w:i/>
        </w:rPr>
        <w:t xml:space="preserve"> </w:t>
      </w:r>
    </w:p>
    <w:p w14:paraId="2E2071E6" w14:textId="77777777" w:rsidR="00A67D27" w:rsidRDefault="00A67D27" w:rsidP="00A67D27">
      <w:pPr>
        <w:pStyle w:val="Heading2"/>
      </w:pPr>
      <w:r>
        <w:t>PERFORMANCE VERIFICATION</w:t>
      </w:r>
    </w:p>
    <w:p w14:paraId="70D8225E" w14:textId="3506089D" w:rsidR="00780447" w:rsidRDefault="00A67D27" w:rsidP="00903DF2">
      <w:pPr>
        <w:pStyle w:val="Heading3"/>
        <w:spacing w:after="0"/>
        <w:ind w:left="0"/>
        <w:jc w:val="left"/>
        <w:rPr>
          <w:rFonts w:ascii="Trebuchet MS" w:hAnsi="Trebuchet MS"/>
        </w:rPr>
      </w:pPr>
      <w:r w:rsidRPr="00007924">
        <w:rPr>
          <w:rFonts w:ascii="Trebuchet MS" w:hAnsi="Trebuchet MS"/>
        </w:rPr>
        <w:t xml:space="preserve">The Authority reserves the right to verify any aspect of the Services and the Supplier’s performance under this Agreement against the Target Performance Levels, including by sending test transactions </w:t>
      </w:r>
      <w:r w:rsidRPr="00A67D27">
        <w:t>through</w:t>
      </w:r>
      <w:r w:rsidRPr="00007924">
        <w:rPr>
          <w:rFonts w:ascii="Trebuchet MS" w:hAnsi="Trebuchet MS"/>
        </w:rPr>
        <w:t xml:space="preserve"> the IT Environment or otherwise.</w:t>
      </w:r>
    </w:p>
    <w:p w14:paraId="43854581" w14:textId="6AC830DD" w:rsidR="00C52B3A" w:rsidRDefault="00C52B3A">
      <w:pPr>
        <w:spacing w:after="0"/>
        <w:ind w:left="0"/>
        <w:jc w:val="left"/>
      </w:pPr>
      <w:r>
        <w:br w:type="page"/>
      </w:r>
    </w:p>
    <w:p w14:paraId="1D0787AC" w14:textId="060DA803" w:rsidR="00C52B3A" w:rsidRPr="00C52B3A" w:rsidRDefault="00C52B3A" w:rsidP="00C52B3A">
      <w:pPr>
        <w:pStyle w:val="Heading1"/>
        <w:keepNext/>
        <w:numPr>
          <w:ilvl w:val="0"/>
          <w:numId w:val="0"/>
        </w:numPr>
        <w:spacing w:before="120"/>
        <w:ind w:left="-57"/>
        <w:rPr>
          <w:color w:val="FF0000"/>
        </w:rPr>
      </w:pPr>
      <w:r w:rsidRPr="00C52B3A">
        <w:rPr>
          <w:color w:val="FF0000"/>
        </w:rPr>
        <w:lastRenderedPageBreak/>
        <w:t>Annex 1- Key Performance Indicators</w:t>
      </w:r>
    </w:p>
    <w:tbl>
      <w:tblPr>
        <w:tblStyle w:val="TableGrid"/>
        <w:tblW w:w="0" w:type="auto"/>
        <w:tblInd w:w="709" w:type="dxa"/>
        <w:tblLook w:val="04A0" w:firstRow="1" w:lastRow="0" w:firstColumn="1" w:lastColumn="0" w:noHBand="0" w:noVBand="1"/>
      </w:tblPr>
      <w:tblGrid>
        <w:gridCol w:w="4159"/>
        <w:gridCol w:w="4151"/>
      </w:tblGrid>
      <w:tr w:rsidR="00354FC7" w14:paraId="67752127" w14:textId="77777777" w:rsidTr="00354FC7">
        <w:tc>
          <w:tcPr>
            <w:tcW w:w="4509" w:type="dxa"/>
          </w:tcPr>
          <w:p w14:paraId="50E91A45" w14:textId="763C8A50" w:rsidR="00354FC7" w:rsidRPr="00354FC7" w:rsidRDefault="00354FC7" w:rsidP="00C52B3A">
            <w:pPr>
              <w:ind w:left="0"/>
              <w:rPr>
                <w:b/>
                <w:bCs/>
              </w:rPr>
            </w:pPr>
            <w:r w:rsidRPr="00354FC7">
              <w:rPr>
                <w:b/>
                <w:bCs/>
              </w:rPr>
              <w:t>Service and Service Level Standard Required</w:t>
            </w:r>
          </w:p>
        </w:tc>
        <w:tc>
          <w:tcPr>
            <w:tcW w:w="4510" w:type="dxa"/>
          </w:tcPr>
          <w:p w14:paraId="19A198F1" w14:textId="3BE9E747" w:rsidR="00354FC7" w:rsidRPr="00354FC7" w:rsidRDefault="00354FC7" w:rsidP="00C52B3A">
            <w:pPr>
              <w:ind w:left="0"/>
              <w:rPr>
                <w:b/>
                <w:bCs/>
              </w:rPr>
            </w:pPr>
            <w:r w:rsidRPr="00354FC7">
              <w:rPr>
                <w:b/>
                <w:bCs/>
              </w:rPr>
              <w:t>Contractors method for monitoring and controlling Service Level Standard</w:t>
            </w:r>
          </w:p>
        </w:tc>
      </w:tr>
      <w:tr w:rsidR="00354FC7" w14:paraId="3545C207" w14:textId="77777777" w:rsidTr="00354FC7">
        <w:tc>
          <w:tcPr>
            <w:tcW w:w="4509" w:type="dxa"/>
          </w:tcPr>
          <w:p w14:paraId="1385B993" w14:textId="0445B3A3" w:rsidR="00354FC7" w:rsidRDefault="004442E0" w:rsidP="008175A7">
            <w:pPr>
              <w:spacing w:after="0"/>
              <w:ind w:left="0"/>
              <w:jc w:val="left"/>
            </w:pPr>
            <w:r>
              <w:t>65</w:t>
            </w:r>
            <w:r w:rsidR="00354FC7">
              <w:t>% of assignments cleared within four weeks of receipt</w:t>
            </w:r>
            <w:r w:rsidR="008175A7">
              <w:t xml:space="preserve"> </w:t>
            </w:r>
            <w:r w:rsidR="008175A7" w:rsidRPr="008175A7">
              <w:t>(provided no changes to the assignments have been advised by the Authority).</w:t>
            </w:r>
          </w:p>
        </w:tc>
        <w:tc>
          <w:tcPr>
            <w:tcW w:w="4510" w:type="dxa"/>
          </w:tcPr>
          <w:p w14:paraId="0C2CFF2B" w14:textId="3770E14E" w:rsidR="00354FC7" w:rsidRDefault="00354FC7" w:rsidP="00C52B3A">
            <w:pPr>
              <w:ind w:left="0"/>
            </w:pPr>
            <w:r>
              <w:t>TBA between Contractor and Authorities Contract Manager</w:t>
            </w:r>
          </w:p>
        </w:tc>
      </w:tr>
      <w:tr w:rsidR="00354FC7" w14:paraId="72534BA9" w14:textId="77777777" w:rsidTr="00354FC7">
        <w:tc>
          <w:tcPr>
            <w:tcW w:w="4509" w:type="dxa"/>
          </w:tcPr>
          <w:p w14:paraId="5031633B" w14:textId="64B8201A" w:rsidR="00354FC7" w:rsidRDefault="004442E0" w:rsidP="00C52B3A">
            <w:pPr>
              <w:ind w:left="0"/>
            </w:pPr>
            <w:r>
              <w:t>35% of assignments cleared at Primary Action Stage</w:t>
            </w:r>
          </w:p>
        </w:tc>
        <w:tc>
          <w:tcPr>
            <w:tcW w:w="4510" w:type="dxa"/>
          </w:tcPr>
          <w:p w14:paraId="11B89C5D" w14:textId="1E6DFAE7" w:rsidR="00354FC7" w:rsidRDefault="00354FC7" w:rsidP="00C52B3A">
            <w:pPr>
              <w:ind w:left="0"/>
            </w:pPr>
            <w:r>
              <w:t>TBA between Contractor and Authorities Contract Manager</w:t>
            </w:r>
          </w:p>
        </w:tc>
      </w:tr>
      <w:tr w:rsidR="00354FC7" w14:paraId="01A9D5EC" w14:textId="77777777" w:rsidTr="00354FC7">
        <w:tc>
          <w:tcPr>
            <w:tcW w:w="4509" w:type="dxa"/>
          </w:tcPr>
          <w:p w14:paraId="008A9539" w14:textId="3795B5F0" w:rsidR="00354FC7" w:rsidRDefault="00354FC7" w:rsidP="00C52B3A">
            <w:pPr>
              <w:ind w:left="0"/>
            </w:pPr>
            <w:r>
              <w:t>Provide ad hoc management Information in the requested format by the agreed date.</w:t>
            </w:r>
          </w:p>
        </w:tc>
        <w:tc>
          <w:tcPr>
            <w:tcW w:w="4510" w:type="dxa"/>
          </w:tcPr>
          <w:p w14:paraId="5F8B64E0" w14:textId="7C3F2650" w:rsidR="00354FC7" w:rsidRDefault="00354FC7" w:rsidP="00C52B3A">
            <w:pPr>
              <w:ind w:left="0"/>
            </w:pPr>
            <w:r>
              <w:t>TBA between Contractor and Authorities Contract Manager</w:t>
            </w:r>
          </w:p>
        </w:tc>
      </w:tr>
    </w:tbl>
    <w:p w14:paraId="54F3329C" w14:textId="3E11EF7D" w:rsidR="00C52B3A" w:rsidRPr="00C52B3A" w:rsidRDefault="00C52B3A" w:rsidP="00C52B3A"/>
    <w:sectPr w:rsidR="00C52B3A" w:rsidRPr="00C52B3A">
      <w:headerReference w:type="even" r:id="rId11"/>
      <w:headerReference w:type="default" r:id="rId12"/>
      <w:footerReference w:type="default" r:id="rId13"/>
      <w:headerReference w:type="first" r:id="rId14"/>
      <w:footerReference w:type="first" r:id="rId15"/>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C9A91" w14:textId="77777777" w:rsidR="006B7BE8" w:rsidRDefault="006B7BE8">
      <w:r>
        <w:separator/>
      </w:r>
    </w:p>
    <w:p w14:paraId="29A26CF7" w14:textId="77777777" w:rsidR="006B7BE8" w:rsidRDefault="006B7BE8"/>
  </w:endnote>
  <w:endnote w:type="continuationSeparator" w:id="0">
    <w:p w14:paraId="107091CD" w14:textId="77777777" w:rsidR="006B7BE8" w:rsidRDefault="006B7BE8">
      <w:r>
        <w:continuationSeparator/>
      </w:r>
    </w:p>
    <w:p w14:paraId="49962709" w14:textId="77777777" w:rsidR="006B7BE8" w:rsidRDefault="006B7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A6BEB" w14:textId="3C7FACD7" w:rsidR="00007924" w:rsidRDefault="00007924">
    <w:pPr>
      <w:pStyle w:val="Footer"/>
    </w:pPr>
    <w:r>
      <w:rPr>
        <w:noProof/>
        <w:lang w:eastAsia="en-GB"/>
      </w:rPr>
      <mc:AlternateContent>
        <mc:Choice Requires="wps">
          <w:drawing>
            <wp:anchor distT="0" distB="0" distL="114300" distR="114300" simplePos="0" relativeHeight="251659264" behindDoc="0" locked="0" layoutInCell="0" allowOverlap="1" wp14:anchorId="09168628" wp14:editId="4F9E217B">
              <wp:simplePos x="0" y="0"/>
              <wp:positionH relativeFrom="page">
                <wp:posOffset>0</wp:posOffset>
              </wp:positionH>
              <wp:positionV relativeFrom="page">
                <wp:posOffset>10225405</wp:posOffset>
              </wp:positionV>
              <wp:extent cx="7562215" cy="273050"/>
              <wp:effectExtent l="0" t="0" r="0" b="12700"/>
              <wp:wrapNone/>
              <wp:docPr id="1" name="MSIPCM27f64f66ae1e70484baaf6d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C310E4" w14:textId="77ADE412"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168628" id="_x0000_t202" coordsize="21600,21600" o:spt="202" path="m,l,21600r21600,l21600,xe">
              <v:stroke joinstyle="miter"/>
              <v:path gradientshapeok="t" o:connecttype="rect"/>
            </v:shapetype>
            <v:shape id="MSIPCM27f64f66ae1e70484baaf6d5"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" o:allowincell="f" filled="f" stroked="f" strokeweight=".5pt">
              <v:textbox inset=",0,,0">
                <w:txbxContent>
                  <w:p w14:paraId="54C310E4" w14:textId="77ADE412"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E361" w14:textId="7AF23481" w:rsidR="00007924" w:rsidRDefault="00007924">
    <w:pPr>
      <w:pStyle w:val="Footer"/>
    </w:pPr>
    <w:r>
      <w:rPr>
        <w:noProof/>
        <w:lang w:eastAsia="en-GB"/>
      </w:rPr>
      <mc:AlternateContent>
        <mc:Choice Requires="wps">
          <w:drawing>
            <wp:anchor distT="0" distB="0" distL="114300" distR="114300" simplePos="0" relativeHeight="251660288" behindDoc="0" locked="0" layoutInCell="0" allowOverlap="1" wp14:anchorId="38D52AAE" wp14:editId="0F58F37D">
              <wp:simplePos x="0" y="0"/>
              <wp:positionH relativeFrom="page">
                <wp:posOffset>0</wp:posOffset>
              </wp:positionH>
              <wp:positionV relativeFrom="page">
                <wp:posOffset>10225405</wp:posOffset>
              </wp:positionV>
              <wp:extent cx="7562215" cy="273050"/>
              <wp:effectExtent l="0" t="0" r="0" b="12700"/>
              <wp:wrapNone/>
              <wp:docPr id="2" name="MSIPCM6b3a4def9b9b659bfb5514a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55970E" w14:textId="69ECE251"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D52AAE" id="_x0000_t202" coordsize="21600,21600" o:spt="202" path="m,l,21600r21600,l21600,xe">
              <v:stroke joinstyle="miter"/>
              <v:path gradientshapeok="t" o:connecttype="rect"/>
            </v:shapetype>
            <v:shape id="MSIPCM6b3a4def9b9b659bfb5514a6"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I/f7dKzAgAAUAUA&#10;AA4AAAAAAAAAAAAAAAAALgIAAGRycy9lMm9Eb2MueG1sUEsBAi0AFAAGAAgAAAAhAIc8xrjfAAAA&#10;CwEAAA8AAAAAAAAAAAAAAAAADQUAAGRycy9kb3ducmV2LnhtbFBLBQYAAAAABAAEAPMAAAAZBgAA&#10;AAA=&#10;" o:allowincell="f" filled="f" stroked="f" strokeweight=".5pt">
              <v:textbox inset=",0,,0">
                <w:txbxContent>
                  <w:p w14:paraId="2755970E" w14:textId="69ECE251"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16B8" w14:textId="77777777" w:rsidR="006B7BE8" w:rsidRDefault="006B7BE8">
      <w:r>
        <w:separator/>
      </w:r>
    </w:p>
    <w:p w14:paraId="471D5FE5" w14:textId="77777777" w:rsidR="006B7BE8" w:rsidRDefault="006B7BE8"/>
  </w:footnote>
  <w:footnote w:type="continuationSeparator" w:id="0">
    <w:p w14:paraId="5FA5F305" w14:textId="77777777" w:rsidR="006B7BE8" w:rsidRDefault="006B7BE8">
      <w:r>
        <w:continuationSeparator/>
      </w:r>
    </w:p>
    <w:p w14:paraId="7C68EBD1" w14:textId="77777777" w:rsidR="006B7BE8" w:rsidRDefault="006B7B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3492C" w14:textId="77777777" w:rsidR="009D513E" w:rsidRDefault="009D513E">
    <w:pPr>
      <w:pStyle w:val="Header"/>
      <w:ind w:left="0"/>
      <w:jc w:val="center"/>
    </w:pPr>
    <w:r>
      <w:t>NSITIVE - COMMERCIAL</w:t>
    </w:r>
  </w:p>
  <w:p w14:paraId="57BAE1B1" w14:textId="77777777" w:rsidR="009D513E" w:rsidRDefault="009D513E"/>
  <w:p w14:paraId="377132CC"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0CB67A61"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4F818C8A" w14:textId="77777777" w:rsidR="009D513E" w:rsidRDefault="009D513E"/>
  <w:p w14:paraId="37F977E7" w14:textId="77777777" w:rsidR="009D513E" w:rsidRDefault="009D513E">
    <w:pPr>
      <w:pStyle w:val="Header"/>
      <w:ind w:left="0"/>
      <w:jc w:val="center"/>
    </w:pPr>
    <w:r>
      <w:t>OFFICIAL - SENSITIVE - COMMERCIAL</w:t>
    </w:r>
  </w:p>
  <w:p w14:paraId="7879B6BA" w14:textId="77777777" w:rsidR="009D513E" w:rsidRDefault="009D513E"/>
  <w:p w14:paraId="7063E74B"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3AD0D79"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2D67" w14:textId="77777777" w:rsidR="009D513E" w:rsidRDefault="009D513E" w:rsidP="006A13B2">
    <w:pPr>
      <w:pStyle w:val="Header"/>
      <w:tabs>
        <w:tab w:val="clear" w:pos="4153"/>
        <w:tab w:val="clear" w:pos="8306"/>
      </w:tabs>
      <w:ind w:left="0"/>
      <w:jc w:val="center"/>
    </w:pPr>
    <w:r>
      <w:t>OFFICIAL - SENSITIVE - COMMERCIAL</w:t>
    </w:r>
  </w:p>
  <w:p w14:paraId="75E77EBD" w14:textId="7668F5AD" w:rsidR="009D513E" w:rsidRDefault="00280941" w:rsidP="006A13B2">
    <w:pPr>
      <w:pStyle w:val="Header"/>
      <w:ind w:left="0"/>
      <w:jc w:val="center"/>
    </w:pPr>
    <w:r w:rsidRPr="00280941">
      <w:t>HMRC Standard Goods and Services Model Contract</w:t>
    </w:r>
    <w:r w:rsidR="00A0652A">
      <w:t xml:space="preserve"> v1.0</w:t>
    </w:r>
  </w:p>
  <w:p w14:paraId="4CF60CF3" w14:textId="77777777" w:rsidR="009D513E" w:rsidRDefault="009D51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003C3" w14:textId="77777777" w:rsidR="009D513E" w:rsidRDefault="009D513E" w:rsidP="006A13B2">
    <w:pPr>
      <w:pStyle w:val="Header"/>
      <w:tabs>
        <w:tab w:val="clear" w:pos="4153"/>
        <w:tab w:val="clear" w:pos="8306"/>
      </w:tabs>
      <w:ind w:left="0"/>
      <w:jc w:val="center"/>
    </w:pPr>
    <w:r>
      <w:t>OFFICIAL - SENSITIVE - COMMERCIAL</w:t>
    </w:r>
  </w:p>
  <w:p w14:paraId="3FED258F" w14:textId="14FDEC52" w:rsidR="009D513E" w:rsidRDefault="00280941" w:rsidP="00280941">
    <w:pPr>
      <w:pStyle w:val="Header"/>
      <w:ind w:left="0"/>
      <w:jc w:val="center"/>
    </w:pPr>
    <w:r w:rsidRPr="00280941">
      <w:t>HMRC Standard Goods and Services Model Contract</w:t>
    </w:r>
    <w:r w:rsidR="00A0652A">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5"/>
  </w:num>
  <w:num w:numId="3">
    <w:abstractNumId w:val="12"/>
  </w:num>
  <w:num w:numId="4">
    <w:abstractNumId w:val="2"/>
  </w:num>
  <w:num w:numId="5">
    <w:abstractNumId w:val="13"/>
  </w:num>
  <w:num w:numId="6">
    <w:abstractNumId w:val="3"/>
  </w:num>
  <w:num w:numId="7">
    <w:abstractNumId w:val="1"/>
  </w:num>
  <w:num w:numId="8">
    <w:abstractNumId w:val="17"/>
  </w:num>
  <w:num w:numId="9">
    <w:abstractNumId w:val="10"/>
  </w:num>
  <w:num w:numId="10">
    <w:abstractNumId w:val="11"/>
  </w:num>
  <w:num w:numId="11">
    <w:abstractNumId w:val="14"/>
  </w:num>
  <w:num w:numId="12">
    <w:abstractNumId w:val="5"/>
  </w:num>
  <w:num w:numId="13">
    <w:abstractNumId w:val="6"/>
  </w:num>
  <w:num w:numId="14">
    <w:abstractNumId w:val="4"/>
  </w:num>
  <w:num w:numId="15">
    <w:abstractNumId w:val="16"/>
  </w:num>
  <w:num w:numId="16">
    <w:abstractNumId w:val="8"/>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8"/>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447"/>
    <w:rsid w:val="00004DA2"/>
    <w:rsid w:val="00007924"/>
    <w:rsid w:val="00010D85"/>
    <w:rsid w:val="00011F30"/>
    <w:rsid w:val="000164D1"/>
    <w:rsid w:val="00021F48"/>
    <w:rsid w:val="00045DC8"/>
    <w:rsid w:val="000B60CF"/>
    <w:rsid w:val="000D3B90"/>
    <w:rsid w:val="001033D6"/>
    <w:rsid w:val="00115B3C"/>
    <w:rsid w:val="001255C6"/>
    <w:rsid w:val="001439F9"/>
    <w:rsid w:val="001470F4"/>
    <w:rsid w:val="0014763E"/>
    <w:rsid w:val="00160EE6"/>
    <w:rsid w:val="00161191"/>
    <w:rsid w:val="001715A0"/>
    <w:rsid w:val="00185181"/>
    <w:rsid w:val="00193DC8"/>
    <w:rsid w:val="001B6C61"/>
    <w:rsid w:val="001B7E50"/>
    <w:rsid w:val="001D0786"/>
    <w:rsid w:val="001F34F9"/>
    <w:rsid w:val="002066C3"/>
    <w:rsid w:val="0022396B"/>
    <w:rsid w:val="002344E6"/>
    <w:rsid w:val="00280941"/>
    <w:rsid w:val="00282722"/>
    <w:rsid w:val="00285049"/>
    <w:rsid w:val="002853EE"/>
    <w:rsid w:val="00297A99"/>
    <w:rsid w:val="002A568E"/>
    <w:rsid w:val="002B1DB2"/>
    <w:rsid w:val="002B5C8F"/>
    <w:rsid w:val="002C506B"/>
    <w:rsid w:val="002D2F4D"/>
    <w:rsid w:val="002D50BE"/>
    <w:rsid w:val="002F0C25"/>
    <w:rsid w:val="002F2BED"/>
    <w:rsid w:val="00354FC7"/>
    <w:rsid w:val="003716B3"/>
    <w:rsid w:val="003923A9"/>
    <w:rsid w:val="00392EFC"/>
    <w:rsid w:val="003C6431"/>
    <w:rsid w:val="003C6CAA"/>
    <w:rsid w:val="003D05A7"/>
    <w:rsid w:val="003E5F20"/>
    <w:rsid w:val="0041787B"/>
    <w:rsid w:val="0043767A"/>
    <w:rsid w:val="004442E0"/>
    <w:rsid w:val="004913B6"/>
    <w:rsid w:val="00493476"/>
    <w:rsid w:val="004B0869"/>
    <w:rsid w:val="004C62A4"/>
    <w:rsid w:val="00504ACC"/>
    <w:rsid w:val="00513BD8"/>
    <w:rsid w:val="005147AD"/>
    <w:rsid w:val="00536D96"/>
    <w:rsid w:val="00573A0F"/>
    <w:rsid w:val="005D0D2C"/>
    <w:rsid w:val="005E5121"/>
    <w:rsid w:val="005F6F3D"/>
    <w:rsid w:val="00637CF5"/>
    <w:rsid w:val="00642CF7"/>
    <w:rsid w:val="00692C0B"/>
    <w:rsid w:val="006A13B2"/>
    <w:rsid w:val="006B05A5"/>
    <w:rsid w:val="006B0E81"/>
    <w:rsid w:val="006B7BE8"/>
    <w:rsid w:val="006C2B3D"/>
    <w:rsid w:val="006C3704"/>
    <w:rsid w:val="006F0542"/>
    <w:rsid w:val="007327E5"/>
    <w:rsid w:val="0076136A"/>
    <w:rsid w:val="0076290B"/>
    <w:rsid w:val="00762ED3"/>
    <w:rsid w:val="00780447"/>
    <w:rsid w:val="007920CA"/>
    <w:rsid w:val="007B240C"/>
    <w:rsid w:val="007D5C22"/>
    <w:rsid w:val="007D6A3B"/>
    <w:rsid w:val="007E5B77"/>
    <w:rsid w:val="00800FE9"/>
    <w:rsid w:val="00815F78"/>
    <w:rsid w:val="008175A7"/>
    <w:rsid w:val="00830F8E"/>
    <w:rsid w:val="0084698B"/>
    <w:rsid w:val="0086418F"/>
    <w:rsid w:val="00866B16"/>
    <w:rsid w:val="00884A7D"/>
    <w:rsid w:val="008F6776"/>
    <w:rsid w:val="00906A8B"/>
    <w:rsid w:val="0090753C"/>
    <w:rsid w:val="00951BAD"/>
    <w:rsid w:val="009556DD"/>
    <w:rsid w:val="0097234E"/>
    <w:rsid w:val="009757DE"/>
    <w:rsid w:val="00992042"/>
    <w:rsid w:val="009961B2"/>
    <w:rsid w:val="009C5A1F"/>
    <w:rsid w:val="009D3481"/>
    <w:rsid w:val="009D513E"/>
    <w:rsid w:val="009E48D4"/>
    <w:rsid w:val="009F18BF"/>
    <w:rsid w:val="00A0652A"/>
    <w:rsid w:val="00A2531A"/>
    <w:rsid w:val="00A573AB"/>
    <w:rsid w:val="00A61C1E"/>
    <w:rsid w:val="00A67D27"/>
    <w:rsid w:val="00A72D3F"/>
    <w:rsid w:val="00A74744"/>
    <w:rsid w:val="00A959F9"/>
    <w:rsid w:val="00AA4EB1"/>
    <w:rsid w:val="00AA7478"/>
    <w:rsid w:val="00AC3584"/>
    <w:rsid w:val="00AD6746"/>
    <w:rsid w:val="00AE2CF9"/>
    <w:rsid w:val="00B31027"/>
    <w:rsid w:val="00B3143A"/>
    <w:rsid w:val="00B43F7C"/>
    <w:rsid w:val="00B55A12"/>
    <w:rsid w:val="00B90EF0"/>
    <w:rsid w:val="00B92F79"/>
    <w:rsid w:val="00BC6EF9"/>
    <w:rsid w:val="00BD11E1"/>
    <w:rsid w:val="00BD77F4"/>
    <w:rsid w:val="00BF3184"/>
    <w:rsid w:val="00C22B80"/>
    <w:rsid w:val="00C50CF5"/>
    <w:rsid w:val="00C52B3A"/>
    <w:rsid w:val="00C76141"/>
    <w:rsid w:val="00C77C70"/>
    <w:rsid w:val="00CB6585"/>
    <w:rsid w:val="00CD3054"/>
    <w:rsid w:val="00CE710D"/>
    <w:rsid w:val="00CE7245"/>
    <w:rsid w:val="00CF247A"/>
    <w:rsid w:val="00CF3F2B"/>
    <w:rsid w:val="00CF6797"/>
    <w:rsid w:val="00D10D0B"/>
    <w:rsid w:val="00D31D4F"/>
    <w:rsid w:val="00D33AC4"/>
    <w:rsid w:val="00D37147"/>
    <w:rsid w:val="00D472EF"/>
    <w:rsid w:val="00D84FF1"/>
    <w:rsid w:val="00DB2703"/>
    <w:rsid w:val="00DB58C0"/>
    <w:rsid w:val="00DE6D4C"/>
    <w:rsid w:val="00E11A1A"/>
    <w:rsid w:val="00E13FAE"/>
    <w:rsid w:val="00E34B7D"/>
    <w:rsid w:val="00E40C24"/>
    <w:rsid w:val="00E45DD5"/>
    <w:rsid w:val="00E84D24"/>
    <w:rsid w:val="00E96E83"/>
    <w:rsid w:val="00EA0C93"/>
    <w:rsid w:val="00EB38A0"/>
    <w:rsid w:val="00ED13E4"/>
    <w:rsid w:val="00EF131C"/>
    <w:rsid w:val="00F10E73"/>
    <w:rsid w:val="00F130CF"/>
    <w:rsid w:val="00F133C6"/>
    <w:rsid w:val="00F2795B"/>
    <w:rsid w:val="00F31BD8"/>
    <w:rsid w:val="00F51C15"/>
    <w:rsid w:val="00F7059A"/>
    <w:rsid w:val="00FA7493"/>
    <w:rsid w:val="00FD586A"/>
    <w:rsid w:val="00FE0450"/>
    <w:rsid w:val="00FE69D2"/>
    <w:rsid w:val="00FE7E2B"/>
    <w:rsid w:val="00FF469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F4D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7"/>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7"/>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7"/>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7"/>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7"/>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7"/>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7"/>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7"/>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57501775">
      <w:bodyDiv w:val="1"/>
      <w:marLeft w:val="0"/>
      <w:marRight w:val="0"/>
      <w:marTop w:val="0"/>
      <w:marBottom w:val="0"/>
      <w:divBdr>
        <w:top w:val="none" w:sz="0" w:space="0" w:color="auto"/>
        <w:left w:val="none" w:sz="0" w:space="0" w:color="auto"/>
        <w:bottom w:val="none" w:sz="0" w:space="0" w:color="auto"/>
        <w:right w:val="none" w:sz="0" w:space="0" w:color="auto"/>
      </w:divBdr>
      <w:divsChild>
        <w:div w:id="882015696">
          <w:marLeft w:val="0"/>
          <w:marRight w:val="0"/>
          <w:marTop w:val="0"/>
          <w:marBottom w:val="0"/>
          <w:divBdr>
            <w:top w:val="none" w:sz="0" w:space="0" w:color="auto"/>
            <w:left w:val="none" w:sz="0" w:space="0" w:color="auto"/>
            <w:bottom w:val="none" w:sz="0" w:space="0" w:color="auto"/>
            <w:right w:val="none" w:sz="0" w:space="0" w:color="auto"/>
          </w:divBdr>
        </w:div>
      </w:divsChild>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935180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23CE9-8068-4823-8A3B-6C94830F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0A6678-2169-4C0A-BF69-BCA1C7FB11B3}">
  <ds:schemaRefs>
    <ds:schemaRef ds:uri="http://schemas.microsoft.com/sharepoint/v3/contenttype/forms"/>
  </ds:schemaRefs>
</ds:datastoreItem>
</file>

<file path=customXml/itemProps3.xml><?xml version="1.0" encoding="utf-8"?>
<ds:datastoreItem xmlns:ds="http://schemas.openxmlformats.org/officeDocument/2006/customXml" ds:itemID="{821CDDBD-3EDF-4B51-85D0-B3E4EC842156}">
  <ds:schemaRefs>
    <ds:schemaRef ds:uri="http://schemas.microsoft.com/office/2006/metadata/properties"/>
    <ds:schemaRef ds:uri="http://schemas.openxmlformats.org/package/2006/metadata/core-properties"/>
    <ds:schemaRef ds:uri="http://purl.org/dc/terms/"/>
    <ds:schemaRef ds:uri="dea30bfe-9705-4682-ab41-015fcca4e616"/>
    <ds:schemaRef ds:uri="http://schemas.microsoft.com/office/infopath/2007/PartnerControls"/>
    <ds:schemaRef ds:uri="http://schemas.microsoft.com/office/2006/documentManagement/types"/>
    <ds:schemaRef ds:uri="16e84d32-8e3d-449c-a871-64be9ea736bc"/>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7F044278-F4DF-40B7-84C3-7FD09396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2021-08-12T10:47:00Z</dcterms:created>
  <dcterms:modified xsi:type="dcterms:W3CDTF">2021-08-12T10:47:00Z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2021-06-18T10:56:54Z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fe203214-054e-4d1a-8934-8194095565e2</vt:lpwstr>
  </property>
  <property fmtid="{D5CDD505-2E9C-101B-9397-08002B2CF9AE}" pid="10" name="MSIP_Label_f9af038e-07b4-4369-a678-c835687cb272_ContentBits">
    <vt:lpwstr>2</vt:lpwstr>
  </property>
</Properties>
</file>